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1AC7D">
      <w:pPr>
        <w:spacing w:before="0" w:after="0"/>
        <w:ind w:firstLine="560"/>
        <w:jc w:val="left"/>
        <w:outlineLvl w:val="3"/>
      </w:pPr>
      <w:bookmarkStart w:id="0" w:name="_Toc_4_4_0000000095"/>
      <w:r>
        <w:rPr>
          <w:rFonts w:ascii="方正仿宋_GBK" w:hAnsi="方正仿宋_GBK" w:eastAsia="方正仿宋_GBK" w:cs="方正仿宋_GBK"/>
          <w:sz w:val="28"/>
        </w:rPr>
        <w:t>91.基本公共卫生服务补助资金-2025年区级绩效目标表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591939E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10A0614">
            <w:pPr>
              <w:pStyle w:val="4"/>
            </w:pPr>
            <w:r>
              <w:t>368232天津市滨海新区海滨街幸福社区卫生服务中心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88483FA">
            <w:pPr>
              <w:pStyle w:val="5"/>
            </w:pPr>
            <w:r>
              <w:t>单位：元</w:t>
            </w:r>
          </w:p>
        </w:tc>
      </w:tr>
      <w:tr w14:paraId="2942247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0C5DCB7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30F77D0D">
            <w:pPr>
              <w:pStyle w:val="7"/>
            </w:pPr>
            <w:r>
              <w:t>基本公共卫生服务补助资金-2025年区级</w:t>
            </w:r>
          </w:p>
        </w:tc>
      </w:tr>
      <w:tr w14:paraId="75D7A73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F7487AC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53FB094C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3532D688">
            <w:pPr>
              <w:pStyle w:val="7"/>
            </w:pPr>
            <w:r>
              <w:t>3110000.00</w:t>
            </w:r>
          </w:p>
        </w:tc>
        <w:tc>
          <w:tcPr>
            <w:tcW w:w="1587" w:type="dxa"/>
            <w:vAlign w:val="center"/>
          </w:tcPr>
          <w:p w14:paraId="3EBF5608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64BBD01D">
            <w:pPr>
              <w:pStyle w:val="7"/>
            </w:pPr>
            <w:r>
              <w:t>3110000.00</w:t>
            </w:r>
          </w:p>
        </w:tc>
        <w:tc>
          <w:tcPr>
            <w:tcW w:w="1276" w:type="dxa"/>
            <w:vAlign w:val="center"/>
          </w:tcPr>
          <w:p w14:paraId="2564FD77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3AFE443D">
            <w:pPr>
              <w:pStyle w:val="7"/>
            </w:pPr>
            <w:r>
              <w:t xml:space="preserve"> </w:t>
            </w:r>
          </w:p>
        </w:tc>
      </w:tr>
      <w:tr w14:paraId="767D934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034EA1AA"/>
        </w:tc>
        <w:tc>
          <w:tcPr>
            <w:tcW w:w="8589" w:type="dxa"/>
            <w:gridSpan w:val="6"/>
            <w:vAlign w:val="center"/>
          </w:tcPr>
          <w:p w14:paraId="13CAA7FD">
            <w:pPr>
              <w:pStyle w:val="7"/>
            </w:pPr>
            <w:r>
              <w:t>人员和公用支出</w:t>
            </w:r>
          </w:p>
        </w:tc>
      </w:tr>
      <w:tr w14:paraId="7BDBB5C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B18980C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049EC412">
            <w:pPr>
              <w:pStyle w:val="7"/>
            </w:pPr>
            <w:r>
              <w:t>1.通过开展基本公共卫生工作，为辖区居民进行慢病管理、老年人查体、家庭医生签约服务，提升居民健康管理。</w:t>
            </w:r>
          </w:p>
        </w:tc>
      </w:tr>
    </w:tbl>
    <w:p w14:paraId="69E614A8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3B5B80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5DE55E55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5170FD83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2D20810E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0CC15B2B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4CE13B29">
            <w:pPr>
              <w:pStyle w:val="6"/>
            </w:pPr>
            <w:r>
              <w:t>指标值</w:t>
            </w:r>
          </w:p>
        </w:tc>
      </w:tr>
      <w:tr w14:paraId="3D3321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0FCC353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45DCB214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7005006">
            <w:pPr>
              <w:pStyle w:val="7"/>
            </w:pPr>
            <w:r>
              <w:t>家庭医生签约人数</w:t>
            </w:r>
          </w:p>
        </w:tc>
        <w:tc>
          <w:tcPr>
            <w:tcW w:w="3430" w:type="dxa"/>
            <w:vAlign w:val="center"/>
          </w:tcPr>
          <w:p w14:paraId="27D6B194">
            <w:pPr>
              <w:pStyle w:val="7"/>
            </w:pPr>
            <w:r>
              <w:t>家庭医生签约人数</w:t>
            </w:r>
          </w:p>
        </w:tc>
        <w:tc>
          <w:tcPr>
            <w:tcW w:w="2551" w:type="dxa"/>
            <w:vAlign w:val="center"/>
          </w:tcPr>
          <w:p w14:paraId="115BB682">
            <w:pPr>
              <w:pStyle w:val="7"/>
            </w:pPr>
            <w:r>
              <w:t>≥23325人</w:t>
            </w:r>
          </w:p>
        </w:tc>
      </w:tr>
      <w:tr w14:paraId="0F9ED2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172AD55"/>
        </w:tc>
        <w:tc>
          <w:tcPr>
            <w:tcW w:w="1276" w:type="dxa"/>
            <w:vAlign w:val="center"/>
          </w:tcPr>
          <w:p w14:paraId="28B15537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7AA88D8">
            <w:pPr>
              <w:pStyle w:val="7"/>
            </w:pPr>
            <w:r>
              <w:t>高血压患者管理人数</w:t>
            </w:r>
          </w:p>
        </w:tc>
        <w:tc>
          <w:tcPr>
            <w:tcW w:w="3430" w:type="dxa"/>
            <w:vAlign w:val="center"/>
          </w:tcPr>
          <w:p w14:paraId="0B8BE73F">
            <w:pPr>
              <w:pStyle w:val="7"/>
            </w:pPr>
            <w:r>
              <w:t>高血压患者管理人数</w:t>
            </w:r>
          </w:p>
        </w:tc>
        <w:tc>
          <w:tcPr>
            <w:tcW w:w="2551" w:type="dxa"/>
            <w:vAlign w:val="center"/>
          </w:tcPr>
          <w:p w14:paraId="31D028EF">
            <w:pPr>
              <w:pStyle w:val="7"/>
            </w:pPr>
            <w:r>
              <w:t>≥7924人</w:t>
            </w:r>
          </w:p>
        </w:tc>
      </w:tr>
      <w:tr w14:paraId="01993A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01706A2"/>
        </w:tc>
        <w:tc>
          <w:tcPr>
            <w:tcW w:w="1276" w:type="dxa"/>
            <w:vAlign w:val="center"/>
          </w:tcPr>
          <w:p w14:paraId="5F949464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8263BC9">
            <w:pPr>
              <w:pStyle w:val="7"/>
            </w:pPr>
            <w:r>
              <w:t>糖尿病患者管理人数</w:t>
            </w:r>
          </w:p>
        </w:tc>
        <w:tc>
          <w:tcPr>
            <w:tcW w:w="3430" w:type="dxa"/>
            <w:vAlign w:val="center"/>
          </w:tcPr>
          <w:p w14:paraId="6E29A656">
            <w:pPr>
              <w:pStyle w:val="7"/>
            </w:pPr>
            <w:r>
              <w:t>糖尿病患者管理人数</w:t>
            </w:r>
          </w:p>
        </w:tc>
        <w:tc>
          <w:tcPr>
            <w:tcW w:w="2551" w:type="dxa"/>
            <w:vAlign w:val="center"/>
          </w:tcPr>
          <w:p w14:paraId="547F30B2">
            <w:pPr>
              <w:pStyle w:val="7"/>
            </w:pPr>
            <w:r>
              <w:t>≥3166人</w:t>
            </w:r>
          </w:p>
        </w:tc>
      </w:tr>
      <w:tr w14:paraId="6714DB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3DE64A1"/>
        </w:tc>
        <w:tc>
          <w:tcPr>
            <w:tcW w:w="1276" w:type="dxa"/>
            <w:vAlign w:val="center"/>
          </w:tcPr>
          <w:p w14:paraId="72A80114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9E9F47D">
            <w:pPr>
              <w:pStyle w:val="7"/>
            </w:pPr>
            <w:r>
              <w:t>居民建档任务数</w:t>
            </w:r>
          </w:p>
        </w:tc>
        <w:tc>
          <w:tcPr>
            <w:tcW w:w="3430" w:type="dxa"/>
            <w:vAlign w:val="center"/>
          </w:tcPr>
          <w:p w14:paraId="099567BF">
            <w:pPr>
              <w:pStyle w:val="7"/>
            </w:pPr>
            <w:r>
              <w:t>居民建档任务数</w:t>
            </w:r>
          </w:p>
        </w:tc>
        <w:tc>
          <w:tcPr>
            <w:tcW w:w="2551" w:type="dxa"/>
            <w:vAlign w:val="center"/>
          </w:tcPr>
          <w:p w14:paraId="5A32226C">
            <w:pPr>
              <w:pStyle w:val="7"/>
            </w:pPr>
            <w:r>
              <w:t>≥52174人</w:t>
            </w:r>
          </w:p>
        </w:tc>
      </w:tr>
      <w:tr w14:paraId="51F337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D55B5BB"/>
        </w:tc>
        <w:tc>
          <w:tcPr>
            <w:tcW w:w="1276" w:type="dxa"/>
            <w:vAlign w:val="center"/>
          </w:tcPr>
          <w:p w14:paraId="11813321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DF05439">
            <w:pPr>
              <w:pStyle w:val="7"/>
            </w:pPr>
            <w:r>
              <w:t>签约覆盖率</w:t>
            </w:r>
          </w:p>
        </w:tc>
        <w:tc>
          <w:tcPr>
            <w:tcW w:w="3430" w:type="dxa"/>
            <w:vAlign w:val="center"/>
          </w:tcPr>
          <w:p w14:paraId="6CD0C2FD">
            <w:pPr>
              <w:pStyle w:val="7"/>
            </w:pPr>
            <w:r>
              <w:t>签约覆盖率</w:t>
            </w:r>
          </w:p>
        </w:tc>
        <w:tc>
          <w:tcPr>
            <w:tcW w:w="2551" w:type="dxa"/>
            <w:vAlign w:val="center"/>
          </w:tcPr>
          <w:p w14:paraId="1838CF40">
            <w:pPr>
              <w:pStyle w:val="7"/>
            </w:pPr>
            <w:r>
              <w:t>≥38％</w:t>
            </w:r>
          </w:p>
        </w:tc>
      </w:tr>
      <w:tr w14:paraId="416F12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BC1B1CF"/>
        </w:tc>
        <w:tc>
          <w:tcPr>
            <w:tcW w:w="1276" w:type="dxa"/>
            <w:vAlign w:val="center"/>
          </w:tcPr>
          <w:p w14:paraId="6AF675F8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2BE9ED63">
            <w:pPr>
              <w:pStyle w:val="7"/>
            </w:pPr>
            <w:r>
              <w:t>65岁以上老年人查体开展完成时间</w:t>
            </w:r>
          </w:p>
        </w:tc>
        <w:tc>
          <w:tcPr>
            <w:tcW w:w="3430" w:type="dxa"/>
            <w:vAlign w:val="center"/>
          </w:tcPr>
          <w:p w14:paraId="03BC9211">
            <w:pPr>
              <w:pStyle w:val="7"/>
            </w:pPr>
            <w:r>
              <w:t>65岁以上老年人查体开展完成时间</w:t>
            </w:r>
          </w:p>
        </w:tc>
        <w:tc>
          <w:tcPr>
            <w:tcW w:w="2551" w:type="dxa"/>
            <w:vAlign w:val="center"/>
          </w:tcPr>
          <w:p w14:paraId="300B7BCF">
            <w:pPr>
              <w:pStyle w:val="7"/>
            </w:pPr>
            <w:r>
              <w:t>2025年12月31日前完成</w:t>
            </w:r>
          </w:p>
        </w:tc>
      </w:tr>
      <w:tr w14:paraId="5A9EFD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037457C"/>
        </w:tc>
        <w:tc>
          <w:tcPr>
            <w:tcW w:w="1276" w:type="dxa"/>
            <w:vAlign w:val="center"/>
          </w:tcPr>
          <w:p w14:paraId="27FD7F23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242F9F35">
            <w:pPr>
              <w:pStyle w:val="7"/>
            </w:pPr>
            <w:r>
              <w:t>老年人查体费用</w:t>
            </w:r>
          </w:p>
        </w:tc>
        <w:tc>
          <w:tcPr>
            <w:tcW w:w="3430" w:type="dxa"/>
            <w:vAlign w:val="center"/>
          </w:tcPr>
          <w:p w14:paraId="1AD26C59">
            <w:pPr>
              <w:pStyle w:val="7"/>
            </w:pPr>
            <w:r>
              <w:t>老年人查体费用</w:t>
            </w:r>
          </w:p>
        </w:tc>
        <w:tc>
          <w:tcPr>
            <w:tcW w:w="2551" w:type="dxa"/>
            <w:vAlign w:val="center"/>
          </w:tcPr>
          <w:p w14:paraId="4F76FCE8">
            <w:pPr>
              <w:pStyle w:val="7"/>
            </w:pPr>
            <w:r>
              <w:t>109元/人</w:t>
            </w:r>
          </w:p>
        </w:tc>
      </w:tr>
      <w:tr w14:paraId="219B4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00BAB24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7C49C40">
            <w:pPr>
              <w:pStyle w:val="7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7BA80BD4">
            <w:pPr>
              <w:pStyle w:val="7"/>
            </w:pPr>
            <w:r>
              <w:t>患者规范管理率</w:t>
            </w:r>
          </w:p>
        </w:tc>
        <w:tc>
          <w:tcPr>
            <w:tcW w:w="3430" w:type="dxa"/>
            <w:vAlign w:val="center"/>
          </w:tcPr>
          <w:p w14:paraId="5F0B2C9E">
            <w:pPr>
              <w:pStyle w:val="7"/>
            </w:pPr>
            <w:r>
              <w:t>患者规范管理率</w:t>
            </w:r>
          </w:p>
        </w:tc>
        <w:tc>
          <w:tcPr>
            <w:tcW w:w="2551" w:type="dxa"/>
            <w:vAlign w:val="center"/>
          </w:tcPr>
          <w:p w14:paraId="6571C9F2">
            <w:pPr>
              <w:pStyle w:val="7"/>
            </w:pPr>
            <w:r>
              <w:t>≥70％</w:t>
            </w:r>
          </w:p>
        </w:tc>
      </w:tr>
      <w:tr w14:paraId="3A5981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F55C58C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0C19B181">
            <w:pPr>
              <w:pStyle w:val="7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57408084">
            <w:pPr>
              <w:pStyle w:val="7"/>
            </w:pPr>
            <w:r>
              <w:t>医务人员培训合格率</w:t>
            </w:r>
          </w:p>
        </w:tc>
        <w:tc>
          <w:tcPr>
            <w:tcW w:w="3430" w:type="dxa"/>
            <w:vAlign w:val="center"/>
          </w:tcPr>
          <w:p w14:paraId="3F7275DE">
            <w:pPr>
              <w:pStyle w:val="7"/>
            </w:pPr>
            <w:r>
              <w:t>医务人员培训合格率</w:t>
            </w:r>
          </w:p>
        </w:tc>
        <w:tc>
          <w:tcPr>
            <w:tcW w:w="2551" w:type="dxa"/>
            <w:vAlign w:val="center"/>
          </w:tcPr>
          <w:p w14:paraId="2BA3364E">
            <w:pPr>
              <w:pStyle w:val="7"/>
            </w:pPr>
            <w:r>
              <w:t>≥90％</w:t>
            </w:r>
          </w:p>
        </w:tc>
      </w:tr>
      <w:tr w14:paraId="16BE83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8A417AF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7F047F89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31C3BD10">
            <w:pPr>
              <w:pStyle w:val="7"/>
            </w:pPr>
            <w:r>
              <w:t>签约居民满意度</w:t>
            </w:r>
          </w:p>
        </w:tc>
        <w:tc>
          <w:tcPr>
            <w:tcW w:w="3430" w:type="dxa"/>
            <w:vAlign w:val="center"/>
          </w:tcPr>
          <w:p w14:paraId="69C445D1">
            <w:pPr>
              <w:pStyle w:val="7"/>
            </w:pPr>
            <w:r>
              <w:t>签约居民满意度</w:t>
            </w:r>
          </w:p>
        </w:tc>
        <w:tc>
          <w:tcPr>
            <w:tcW w:w="2551" w:type="dxa"/>
            <w:vAlign w:val="center"/>
          </w:tcPr>
          <w:p w14:paraId="064498B1">
            <w:pPr>
              <w:pStyle w:val="7"/>
            </w:pPr>
            <w:r>
              <w:t>≥90％</w:t>
            </w:r>
          </w:p>
        </w:tc>
      </w:tr>
    </w:tbl>
    <w:p w14:paraId="4A317CE7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0253A369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E707BD7-162F-4B4B-8E6E-A7C2E33BB675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5FA18931-DEF0-4FD8-AEDE-8E5E03EF173F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C63CE017-AAEE-45C5-A844-6253AF442DE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40506C"/>
    <w:rsid w:val="1540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2025-02-06T05:42:00Z</dcterms:created>
  <dc:creator>S.mile</dc:creator>
  <cp:lastModifiedBy>S.mile</cp:lastModifiedBy>
  <dcterms:modified xsi:type="dcterms:W3CDTF">2025-02-06T05:42:44Z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B1DDEB13C9034CACB9FB89E86278F9E8_11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