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605A7">
      <w:pPr>
        <w:spacing w:before="0" w:after="0"/>
        <w:ind w:firstLine="560"/>
        <w:jc w:val="left"/>
        <w:outlineLvl w:val="3"/>
      </w:pPr>
      <w:bookmarkStart w:id="0" w:name="_Toc_4_4_0000000096"/>
      <w:r>
        <w:rPr>
          <w:rFonts w:ascii="方正仿宋_GBK" w:hAnsi="方正仿宋_GBK" w:eastAsia="方正仿宋_GBK" w:cs="方正仿宋_GBK"/>
          <w:sz w:val="28"/>
        </w:rPr>
        <w:t>92.基本公共卫生服务补助资金-2025年区级绩效目标表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F6232C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DE0BD85">
            <w:pPr>
              <w:pStyle w:val="4"/>
            </w:pPr>
            <w:r>
              <w:t>368233天津市滨海新区海滨街华幸社区卫生服务中心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92E051B">
            <w:pPr>
              <w:pStyle w:val="5"/>
            </w:pPr>
            <w:r>
              <w:t>单位：元</w:t>
            </w:r>
          </w:p>
        </w:tc>
      </w:tr>
      <w:tr w14:paraId="416C149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7CFDA9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5FD5930">
            <w:pPr>
              <w:pStyle w:val="7"/>
            </w:pPr>
            <w:r>
              <w:t>基本公共卫生服务补助资金-2025年区级</w:t>
            </w:r>
          </w:p>
        </w:tc>
      </w:tr>
      <w:tr w14:paraId="405E369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DB4573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8F5A0A0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081E0C4">
            <w:pPr>
              <w:pStyle w:val="7"/>
            </w:pPr>
            <w:r>
              <w:t>1790000.00</w:t>
            </w:r>
          </w:p>
        </w:tc>
        <w:tc>
          <w:tcPr>
            <w:tcW w:w="1587" w:type="dxa"/>
            <w:vAlign w:val="center"/>
          </w:tcPr>
          <w:p w14:paraId="1424054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F856941">
            <w:pPr>
              <w:pStyle w:val="7"/>
            </w:pPr>
            <w:r>
              <w:t>1790000.00</w:t>
            </w:r>
          </w:p>
        </w:tc>
        <w:tc>
          <w:tcPr>
            <w:tcW w:w="1276" w:type="dxa"/>
            <w:vAlign w:val="center"/>
          </w:tcPr>
          <w:p w14:paraId="3CD07598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F03C276">
            <w:pPr>
              <w:pStyle w:val="7"/>
            </w:pPr>
            <w:r>
              <w:t xml:space="preserve"> </w:t>
            </w:r>
          </w:p>
        </w:tc>
      </w:tr>
      <w:tr w14:paraId="547A322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A4E7FC7"/>
        </w:tc>
        <w:tc>
          <w:tcPr>
            <w:tcW w:w="8589" w:type="dxa"/>
            <w:gridSpan w:val="6"/>
            <w:vAlign w:val="center"/>
          </w:tcPr>
          <w:p w14:paraId="269430E7">
            <w:pPr>
              <w:pStyle w:val="7"/>
            </w:pPr>
            <w:r>
              <w:t>人员支出和公用支出</w:t>
            </w:r>
          </w:p>
        </w:tc>
      </w:tr>
      <w:tr w14:paraId="30F6C7E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33F061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BF5C60B">
            <w:pPr>
              <w:pStyle w:val="7"/>
            </w:pPr>
            <w:r>
              <w:t>1.通过对居民进行签约。建档、开展居民查体，高血压及糖尿病等患者进行管理，为辖区居民提供基本公共卫生服务，保障居民健康</w:t>
            </w:r>
          </w:p>
        </w:tc>
      </w:tr>
    </w:tbl>
    <w:p w14:paraId="0E45D59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554CA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2D7A9C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516808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7158E7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D3DA20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C981CD0">
            <w:pPr>
              <w:pStyle w:val="6"/>
            </w:pPr>
            <w:r>
              <w:t>指标值</w:t>
            </w:r>
          </w:p>
        </w:tc>
      </w:tr>
      <w:tr w14:paraId="0E746A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EDD2DE2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7285FA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F768CA7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3E2E7B55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211DAFB2">
            <w:pPr>
              <w:pStyle w:val="7"/>
            </w:pPr>
            <w:r>
              <w:t>≥2650人</w:t>
            </w:r>
          </w:p>
        </w:tc>
      </w:tr>
      <w:tr w14:paraId="69C5B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1B3E88"/>
        </w:tc>
        <w:tc>
          <w:tcPr>
            <w:tcW w:w="1276" w:type="dxa"/>
            <w:vAlign w:val="center"/>
          </w:tcPr>
          <w:p w14:paraId="69342BD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ACCF701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49DCE11B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66CF1222">
            <w:pPr>
              <w:pStyle w:val="7"/>
            </w:pPr>
            <w:r>
              <w:t>≥1100人</w:t>
            </w:r>
          </w:p>
        </w:tc>
      </w:tr>
      <w:tr w14:paraId="46B1B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9A34EA"/>
        </w:tc>
        <w:tc>
          <w:tcPr>
            <w:tcW w:w="1276" w:type="dxa"/>
            <w:vAlign w:val="center"/>
          </w:tcPr>
          <w:p w14:paraId="7495064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6E3C8B2">
            <w:pPr>
              <w:pStyle w:val="7"/>
            </w:pPr>
            <w:r>
              <w:t>居民建档任务数</w:t>
            </w:r>
          </w:p>
        </w:tc>
        <w:tc>
          <w:tcPr>
            <w:tcW w:w="3430" w:type="dxa"/>
            <w:vAlign w:val="center"/>
          </w:tcPr>
          <w:p w14:paraId="3C41A5B0">
            <w:pPr>
              <w:pStyle w:val="7"/>
            </w:pPr>
            <w:r>
              <w:t>居民建档任务数</w:t>
            </w:r>
          </w:p>
        </w:tc>
        <w:tc>
          <w:tcPr>
            <w:tcW w:w="2551" w:type="dxa"/>
            <w:vAlign w:val="center"/>
          </w:tcPr>
          <w:p w14:paraId="21D9AC53">
            <w:pPr>
              <w:pStyle w:val="7"/>
            </w:pPr>
            <w:r>
              <w:t>≥24700人</w:t>
            </w:r>
          </w:p>
        </w:tc>
      </w:tr>
      <w:tr w14:paraId="3ED00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E2389C"/>
        </w:tc>
        <w:tc>
          <w:tcPr>
            <w:tcW w:w="1276" w:type="dxa"/>
            <w:vAlign w:val="center"/>
          </w:tcPr>
          <w:p w14:paraId="4C5F5ED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88D5401">
            <w:pPr>
              <w:pStyle w:val="7"/>
            </w:pPr>
            <w:r>
              <w:t>健康教育</w:t>
            </w:r>
          </w:p>
        </w:tc>
        <w:tc>
          <w:tcPr>
            <w:tcW w:w="3430" w:type="dxa"/>
            <w:vAlign w:val="center"/>
          </w:tcPr>
          <w:p w14:paraId="628C705F">
            <w:pPr>
              <w:pStyle w:val="7"/>
            </w:pPr>
            <w:r>
              <w:t>健康教育</w:t>
            </w:r>
          </w:p>
        </w:tc>
        <w:tc>
          <w:tcPr>
            <w:tcW w:w="2551" w:type="dxa"/>
            <w:vAlign w:val="center"/>
          </w:tcPr>
          <w:p w14:paraId="1DCA85D6">
            <w:pPr>
              <w:pStyle w:val="7"/>
            </w:pPr>
            <w:r>
              <w:t>≥12次</w:t>
            </w:r>
          </w:p>
        </w:tc>
      </w:tr>
      <w:tr w14:paraId="5710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55A06D"/>
        </w:tc>
        <w:tc>
          <w:tcPr>
            <w:tcW w:w="1276" w:type="dxa"/>
            <w:vAlign w:val="center"/>
          </w:tcPr>
          <w:p w14:paraId="0216121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2C90CA1">
            <w:pPr>
              <w:pStyle w:val="7"/>
            </w:pPr>
            <w:r>
              <w:t>严重精神障碍患者管理人次</w:t>
            </w:r>
          </w:p>
        </w:tc>
        <w:tc>
          <w:tcPr>
            <w:tcW w:w="3430" w:type="dxa"/>
            <w:vAlign w:val="center"/>
          </w:tcPr>
          <w:p w14:paraId="6D21B7E3">
            <w:pPr>
              <w:pStyle w:val="7"/>
            </w:pPr>
            <w:r>
              <w:t>严重精神障碍患者管理人次</w:t>
            </w:r>
          </w:p>
        </w:tc>
        <w:tc>
          <w:tcPr>
            <w:tcW w:w="2551" w:type="dxa"/>
            <w:vAlign w:val="center"/>
          </w:tcPr>
          <w:p w14:paraId="21917D1A">
            <w:pPr>
              <w:pStyle w:val="7"/>
            </w:pPr>
            <w:r>
              <w:t>≥130人</w:t>
            </w:r>
          </w:p>
        </w:tc>
      </w:tr>
      <w:tr w14:paraId="4A9DE1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CB76CB"/>
        </w:tc>
        <w:tc>
          <w:tcPr>
            <w:tcW w:w="1276" w:type="dxa"/>
            <w:vAlign w:val="center"/>
          </w:tcPr>
          <w:p w14:paraId="7D824B4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D37425">
            <w:pPr>
              <w:pStyle w:val="7"/>
            </w:pPr>
            <w:r>
              <w:t>肺结核病患者健康管理</w:t>
            </w:r>
          </w:p>
        </w:tc>
        <w:tc>
          <w:tcPr>
            <w:tcW w:w="3430" w:type="dxa"/>
            <w:vAlign w:val="center"/>
          </w:tcPr>
          <w:p w14:paraId="08070395">
            <w:pPr>
              <w:pStyle w:val="7"/>
            </w:pPr>
            <w:r>
              <w:t>肺结核病患者健康管理</w:t>
            </w:r>
          </w:p>
        </w:tc>
        <w:tc>
          <w:tcPr>
            <w:tcW w:w="2551" w:type="dxa"/>
            <w:vAlign w:val="center"/>
          </w:tcPr>
          <w:p w14:paraId="003BF227">
            <w:pPr>
              <w:pStyle w:val="7"/>
            </w:pPr>
            <w:r>
              <w:t>≥1人</w:t>
            </w:r>
          </w:p>
        </w:tc>
      </w:tr>
      <w:tr w14:paraId="3F6E5A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AB2709"/>
        </w:tc>
        <w:tc>
          <w:tcPr>
            <w:tcW w:w="1276" w:type="dxa"/>
            <w:vAlign w:val="center"/>
          </w:tcPr>
          <w:p w14:paraId="67D9735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4E025F8">
            <w:pPr>
              <w:pStyle w:val="7"/>
            </w:pPr>
            <w:r>
              <w:t>中医药健康管理</w:t>
            </w:r>
          </w:p>
        </w:tc>
        <w:tc>
          <w:tcPr>
            <w:tcW w:w="3430" w:type="dxa"/>
            <w:vAlign w:val="center"/>
          </w:tcPr>
          <w:p w14:paraId="2572AE5A">
            <w:pPr>
              <w:pStyle w:val="7"/>
            </w:pPr>
            <w:r>
              <w:t>中医药健康管理</w:t>
            </w:r>
          </w:p>
        </w:tc>
        <w:tc>
          <w:tcPr>
            <w:tcW w:w="2551" w:type="dxa"/>
            <w:vAlign w:val="center"/>
          </w:tcPr>
          <w:p w14:paraId="36B8D554">
            <w:pPr>
              <w:pStyle w:val="7"/>
            </w:pPr>
            <w:r>
              <w:t>≥5000人</w:t>
            </w:r>
          </w:p>
        </w:tc>
      </w:tr>
      <w:tr w14:paraId="0ECEE4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A27C810"/>
        </w:tc>
        <w:tc>
          <w:tcPr>
            <w:tcW w:w="1276" w:type="dxa"/>
            <w:vAlign w:val="center"/>
          </w:tcPr>
          <w:p w14:paraId="405CB46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3E061E">
            <w:pPr>
              <w:pStyle w:val="7"/>
            </w:pPr>
            <w:r>
              <w:t>传染病疫情和突发公共卫生事件报告和处理</w:t>
            </w:r>
          </w:p>
        </w:tc>
        <w:tc>
          <w:tcPr>
            <w:tcW w:w="3430" w:type="dxa"/>
            <w:vAlign w:val="center"/>
          </w:tcPr>
          <w:p w14:paraId="567521A1">
            <w:pPr>
              <w:pStyle w:val="7"/>
            </w:pPr>
            <w:r>
              <w:t>传染病疫情和突发公共卫生事件报告和处理</w:t>
            </w:r>
          </w:p>
        </w:tc>
        <w:tc>
          <w:tcPr>
            <w:tcW w:w="2551" w:type="dxa"/>
            <w:vAlign w:val="center"/>
          </w:tcPr>
          <w:p w14:paraId="0EDB08A8">
            <w:pPr>
              <w:pStyle w:val="7"/>
            </w:pPr>
            <w:r>
              <w:t>≥0例</w:t>
            </w:r>
          </w:p>
        </w:tc>
      </w:tr>
      <w:tr w14:paraId="705E2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570B37"/>
        </w:tc>
        <w:tc>
          <w:tcPr>
            <w:tcW w:w="1276" w:type="dxa"/>
            <w:vAlign w:val="center"/>
          </w:tcPr>
          <w:p w14:paraId="5DED49B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A534B12">
            <w:pPr>
              <w:pStyle w:val="7"/>
            </w:pPr>
            <w:r>
              <w:t>老年人健康管理</w:t>
            </w:r>
          </w:p>
        </w:tc>
        <w:tc>
          <w:tcPr>
            <w:tcW w:w="3430" w:type="dxa"/>
            <w:vAlign w:val="center"/>
          </w:tcPr>
          <w:p w14:paraId="39C2649C">
            <w:pPr>
              <w:pStyle w:val="7"/>
            </w:pPr>
            <w:r>
              <w:t>老年人健康管理</w:t>
            </w:r>
          </w:p>
        </w:tc>
        <w:tc>
          <w:tcPr>
            <w:tcW w:w="2551" w:type="dxa"/>
            <w:vAlign w:val="center"/>
          </w:tcPr>
          <w:p w14:paraId="4D565D83">
            <w:pPr>
              <w:pStyle w:val="7"/>
            </w:pPr>
            <w:r>
              <w:t>≥6000人</w:t>
            </w:r>
          </w:p>
        </w:tc>
      </w:tr>
      <w:tr w14:paraId="16BD7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4549B5"/>
        </w:tc>
        <w:tc>
          <w:tcPr>
            <w:tcW w:w="1276" w:type="dxa"/>
            <w:vAlign w:val="center"/>
          </w:tcPr>
          <w:p w14:paraId="5876EA0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812BE77">
            <w:pPr>
              <w:pStyle w:val="7"/>
            </w:pPr>
            <w:r>
              <w:t>卫生计生监督协管</w:t>
            </w:r>
          </w:p>
        </w:tc>
        <w:tc>
          <w:tcPr>
            <w:tcW w:w="3430" w:type="dxa"/>
            <w:vAlign w:val="center"/>
          </w:tcPr>
          <w:p w14:paraId="46AF9A44">
            <w:pPr>
              <w:pStyle w:val="7"/>
            </w:pPr>
            <w:r>
              <w:t>卫生计生监督协管</w:t>
            </w:r>
          </w:p>
        </w:tc>
        <w:tc>
          <w:tcPr>
            <w:tcW w:w="2551" w:type="dxa"/>
            <w:vAlign w:val="center"/>
          </w:tcPr>
          <w:p w14:paraId="716248C8">
            <w:pPr>
              <w:pStyle w:val="7"/>
            </w:pPr>
            <w:r>
              <w:t>≥24次</w:t>
            </w:r>
          </w:p>
        </w:tc>
      </w:tr>
      <w:tr w14:paraId="2A2FB8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AC1FB8"/>
        </w:tc>
        <w:tc>
          <w:tcPr>
            <w:tcW w:w="1276" w:type="dxa"/>
            <w:vAlign w:val="center"/>
          </w:tcPr>
          <w:p w14:paraId="101AFB3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2470E33">
            <w:pPr>
              <w:pStyle w:val="7"/>
            </w:pPr>
            <w:r>
              <w:t>高血压患者规范管理率</w:t>
            </w:r>
          </w:p>
        </w:tc>
        <w:tc>
          <w:tcPr>
            <w:tcW w:w="3430" w:type="dxa"/>
            <w:vAlign w:val="center"/>
          </w:tcPr>
          <w:p w14:paraId="7640E193">
            <w:pPr>
              <w:pStyle w:val="7"/>
            </w:pPr>
            <w:r>
              <w:t>高血压患者规范管理率</w:t>
            </w:r>
          </w:p>
        </w:tc>
        <w:tc>
          <w:tcPr>
            <w:tcW w:w="2551" w:type="dxa"/>
            <w:vAlign w:val="center"/>
          </w:tcPr>
          <w:p w14:paraId="34BADAFF">
            <w:pPr>
              <w:pStyle w:val="7"/>
            </w:pPr>
            <w:r>
              <w:t>≥80%</w:t>
            </w:r>
          </w:p>
        </w:tc>
      </w:tr>
      <w:tr w14:paraId="506D8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211DA6A"/>
        </w:tc>
        <w:tc>
          <w:tcPr>
            <w:tcW w:w="1276" w:type="dxa"/>
            <w:vAlign w:val="center"/>
          </w:tcPr>
          <w:p w14:paraId="4FAF779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4C75028">
            <w:pPr>
              <w:pStyle w:val="7"/>
            </w:pPr>
            <w:r>
              <w:t>糖尿病患者规范管理率</w:t>
            </w:r>
          </w:p>
        </w:tc>
        <w:tc>
          <w:tcPr>
            <w:tcW w:w="3430" w:type="dxa"/>
            <w:vAlign w:val="center"/>
          </w:tcPr>
          <w:p w14:paraId="4F19FB97">
            <w:pPr>
              <w:pStyle w:val="7"/>
            </w:pPr>
            <w:r>
              <w:t>糖尿病患者规范管理率</w:t>
            </w:r>
          </w:p>
        </w:tc>
        <w:tc>
          <w:tcPr>
            <w:tcW w:w="2551" w:type="dxa"/>
            <w:vAlign w:val="center"/>
          </w:tcPr>
          <w:p w14:paraId="18F89304">
            <w:pPr>
              <w:pStyle w:val="7"/>
            </w:pPr>
            <w:r>
              <w:t>≥80%</w:t>
            </w:r>
          </w:p>
        </w:tc>
      </w:tr>
      <w:tr w14:paraId="2B9F2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FAAEC7"/>
        </w:tc>
        <w:tc>
          <w:tcPr>
            <w:tcW w:w="1276" w:type="dxa"/>
            <w:vAlign w:val="center"/>
          </w:tcPr>
          <w:p w14:paraId="2B9CB2C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3CB3EC7">
            <w:pPr>
              <w:pStyle w:val="7"/>
            </w:pPr>
            <w:r>
              <w:t>居民建档任务数覆盖率</w:t>
            </w:r>
          </w:p>
        </w:tc>
        <w:tc>
          <w:tcPr>
            <w:tcW w:w="3430" w:type="dxa"/>
            <w:vAlign w:val="center"/>
          </w:tcPr>
          <w:p w14:paraId="388153AE">
            <w:pPr>
              <w:pStyle w:val="7"/>
            </w:pPr>
            <w:r>
              <w:t>居民建档任务数覆盖率</w:t>
            </w:r>
          </w:p>
        </w:tc>
        <w:tc>
          <w:tcPr>
            <w:tcW w:w="2551" w:type="dxa"/>
            <w:vAlign w:val="center"/>
          </w:tcPr>
          <w:p w14:paraId="7176CA56">
            <w:pPr>
              <w:pStyle w:val="7"/>
            </w:pPr>
            <w:r>
              <w:t>≥85%</w:t>
            </w:r>
          </w:p>
        </w:tc>
      </w:tr>
      <w:tr w14:paraId="05310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436565"/>
        </w:tc>
        <w:tc>
          <w:tcPr>
            <w:tcW w:w="1276" w:type="dxa"/>
            <w:vAlign w:val="center"/>
          </w:tcPr>
          <w:p w14:paraId="63AAB02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09D2351">
            <w:pPr>
              <w:pStyle w:val="7"/>
            </w:pPr>
            <w:r>
              <w:t>健康教育覆盖率</w:t>
            </w:r>
          </w:p>
        </w:tc>
        <w:tc>
          <w:tcPr>
            <w:tcW w:w="3430" w:type="dxa"/>
            <w:vAlign w:val="center"/>
          </w:tcPr>
          <w:p w14:paraId="102B4FC0">
            <w:pPr>
              <w:pStyle w:val="7"/>
            </w:pPr>
            <w:r>
              <w:t>健康教育覆盖率</w:t>
            </w:r>
          </w:p>
        </w:tc>
        <w:tc>
          <w:tcPr>
            <w:tcW w:w="2551" w:type="dxa"/>
            <w:vAlign w:val="center"/>
          </w:tcPr>
          <w:p w14:paraId="3CB84CF3">
            <w:pPr>
              <w:pStyle w:val="7"/>
            </w:pPr>
            <w:r>
              <w:t>≥100%</w:t>
            </w:r>
          </w:p>
        </w:tc>
      </w:tr>
      <w:tr w14:paraId="4BF8E7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025DDD4"/>
        </w:tc>
        <w:tc>
          <w:tcPr>
            <w:tcW w:w="1276" w:type="dxa"/>
            <w:vAlign w:val="center"/>
          </w:tcPr>
          <w:p w14:paraId="616DE2D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2BCB7FA">
            <w:pPr>
              <w:pStyle w:val="7"/>
            </w:pPr>
            <w:r>
              <w:t>严重精神障碍患者管理率</w:t>
            </w:r>
          </w:p>
        </w:tc>
        <w:tc>
          <w:tcPr>
            <w:tcW w:w="3430" w:type="dxa"/>
            <w:vAlign w:val="center"/>
          </w:tcPr>
          <w:p w14:paraId="0AFF22E2">
            <w:pPr>
              <w:pStyle w:val="7"/>
            </w:pPr>
            <w:r>
              <w:t>严重精神障碍患者管理率</w:t>
            </w:r>
          </w:p>
        </w:tc>
        <w:tc>
          <w:tcPr>
            <w:tcW w:w="2551" w:type="dxa"/>
            <w:vAlign w:val="center"/>
          </w:tcPr>
          <w:p w14:paraId="60AA666A">
            <w:pPr>
              <w:pStyle w:val="7"/>
            </w:pPr>
            <w:r>
              <w:t>≥95%</w:t>
            </w:r>
          </w:p>
        </w:tc>
      </w:tr>
      <w:tr w14:paraId="4E1936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6883B68"/>
        </w:tc>
        <w:tc>
          <w:tcPr>
            <w:tcW w:w="1276" w:type="dxa"/>
            <w:vAlign w:val="center"/>
          </w:tcPr>
          <w:p w14:paraId="52F80130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9B776BB">
            <w:pPr>
              <w:pStyle w:val="7"/>
            </w:pPr>
            <w:r>
              <w:t>肺结核病患者健康管理率</w:t>
            </w:r>
          </w:p>
        </w:tc>
        <w:tc>
          <w:tcPr>
            <w:tcW w:w="3430" w:type="dxa"/>
            <w:vAlign w:val="center"/>
          </w:tcPr>
          <w:p w14:paraId="5C017570">
            <w:pPr>
              <w:pStyle w:val="7"/>
            </w:pPr>
            <w:r>
              <w:t>肺结核病患者健康管理率</w:t>
            </w:r>
          </w:p>
        </w:tc>
        <w:tc>
          <w:tcPr>
            <w:tcW w:w="2551" w:type="dxa"/>
            <w:vAlign w:val="center"/>
          </w:tcPr>
          <w:p w14:paraId="40AAE730">
            <w:pPr>
              <w:pStyle w:val="7"/>
            </w:pPr>
            <w:r>
              <w:t>≥100%</w:t>
            </w:r>
          </w:p>
        </w:tc>
      </w:tr>
      <w:tr w14:paraId="5598B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626998"/>
        </w:tc>
        <w:tc>
          <w:tcPr>
            <w:tcW w:w="1276" w:type="dxa"/>
            <w:vAlign w:val="center"/>
          </w:tcPr>
          <w:p w14:paraId="4EBF323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07CEFF7">
            <w:pPr>
              <w:pStyle w:val="7"/>
            </w:pPr>
            <w:r>
              <w:t>中医药健康管理率</w:t>
            </w:r>
          </w:p>
        </w:tc>
        <w:tc>
          <w:tcPr>
            <w:tcW w:w="3430" w:type="dxa"/>
            <w:vAlign w:val="center"/>
          </w:tcPr>
          <w:p w14:paraId="15251169">
            <w:pPr>
              <w:pStyle w:val="7"/>
            </w:pPr>
            <w:r>
              <w:t>中医药健康管理率</w:t>
            </w:r>
          </w:p>
        </w:tc>
        <w:tc>
          <w:tcPr>
            <w:tcW w:w="2551" w:type="dxa"/>
            <w:vAlign w:val="center"/>
          </w:tcPr>
          <w:p w14:paraId="06535816">
            <w:pPr>
              <w:pStyle w:val="7"/>
            </w:pPr>
            <w:r>
              <w:t>≥74%</w:t>
            </w:r>
          </w:p>
        </w:tc>
      </w:tr>
      <w:tr w14:paraId="21D33C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37CF8E"/>
        </w:tc>
        <w:tc>
          <w:tcPr>
            <w:tcW w:w="1276" w:type="dxa"/>
            <w:vAlign w:val="center"/>
          </w:tcPr>
          <w:p w14:paraId="70409A9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48CA4F1">
            <w:pPr>
              <w:pStyle w:val="7"/>
            </w:pPr>
            <w:r>
              <w:t>传染病和突发公共卫生事件报告率</w:t>
            </w:r>
          </w:p>
        </w:tc>
        <w:tc>
          <w:tcPr>
            <w:tcW w:w="3430" w:type="dxa"/>
            <w:vAlign w:val="center"/>
          </w:tcPr>
          <w:p w14:paraId="401B510B">
            <w:pPr>
              <w:pStyle w:val="7"/>
            </w:pPr>
            <w:r>
              <w:t>传染病和突发公共卫生事件报告率</w:t>
            </w:r>
          </w:p>
        </w:tc>
        <w:tc>
          <w:tcPr>
            <w:tcW w:w="2551" w:type="dxa"/>
            <w:vAlign w:val="center"/>
          </w:tcPr>
          <w:p w14:paraId="16DF5C1E">
            <w:pPr>
              <w:pStyle w:val="7"/>
            </w:pPr>
            <w:r>
              <w:t>≥100%</w:t>
            </w:r>
          </w:p>
        </w:tc>
      </w:tr>
      <w:tr w14:paraId="0BC76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4AB7F8F"/>
        </w:tc>
        <w:tc>
          <w:tcPr>
            <w:tcW w:w="1276" w:type="dxa"/>
            <w:vAlign w:val="center"/>
          </w:tcPr>
          <w:p w14:paraId="196CB64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332DB3C">
            <w:pPr>
              <w:pStyle w:val="7"/>
            </w:pPr>
            <w:r>
              <w:t>老年人健康管理率</w:t>
            </w:r>
          </w:p>
        </w:tc>
        <w:tc>
          <w:tcPr>
            <w:tcW w:w="3430" w:type="dxa"/>
            <w:vAlign w:val="center"/>
          </w:tcPr>
          <w:p w14:paraId="13B4DD58">
            <w:pPr>
              <w:pStyle w:val="7"/>
            </w:pPr>
            <w:r>
              <w:t>老年人健康管理率</w:t>
            </w:r>
          </w:p>
        </w:tc>
        <w:tc>
          <w:tcPr>
            <w:tcW w:w="2551" w:type="dxa"/>
            <w:vAlign w:val="center"/>
          </w:tcPr>
          <w:p w14:paraId="01135999">
            <w:pPr>
              <w:pStyle w:val="7"/>
            </w:pPr>
            <w:r>
              <w:t>≥80%</w:t>
            </w:r>
          </w:p>
        </w:tc>
      </w:tr>
      <w:tr w14:paraId="55C56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15F175"/>
        </w:tc>
        <w:tc>
          <w:tcPr>
            <w:tcW w:w="1276" w:type="dxa"/>
            <w:vAlign w:val="center"/>
          </w:tcPr>
          <w:p w14:paraId="2B15BAB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3DC87F4">
            <w:pPr>
              <w:pStyle w:val="7"/>
            </w:pPr>
            <w:r>
              <w:t>卫生计生监督协管率</w:t>
            </w:r>
          </w:p>
        </w:tc>
        <w:tc>
          <w:tcPr>
            <w:tcW w:w="3430" w:type="dxa"/>
            <w:vAlign w:val="center"/>
          </w:tcPr>
          <w:p w14:paraId="3D5D7567">
            <w:pPr>
              <w:pStyle w:val="7"/>
            </w:pPr>
            <w:r>
              <w:t>卫生计生监督协管率</w:t>
            </w:r>
          </w:p>
        </w:tc>
        <w:tc>
          <w:tcPr>
            <w:tcW w:w="2551" w:type="dxa"/>
            <w:vAlign w:val="center"/>
          </w:tcPr>
          <w:p w14:paraId="1C7EA087">
            <w:pPr>
              <w:pStyle w:val="7"/>
            </w:pPr>
            <w:r>
              <w:t>≥100%</w:t>
            </w:r>
          </w:p>
        </w:tc>
      </w:tr>
      <w:tr w14:paraId="70ED2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BE3346"/>
        </w:tc>
        <w:tc>
          <w:tcPr>
            <w:tcW w:w="1276" w:type="dxa"/>
            <w:vAlign w:val="center"/>
          </w:tcPr>
          <w:p w14:paraId="46BD4ED0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DAD191D">
            <w:pPr>
              <w:pStyle w:val="7"/>
            </w:pPr>
            <w:r>
              <w:t>各项指标服务时限</w:t>
            </w:r>
          </w:p>
        </w:tc>
        <w:tc>
          <w:tcPr>
            <w:tcW w:w="3430" w:type="dxa"/>
            <w:vAlign w:val="center"/>
          </w:tcPr>
          <w:p w14:paraId="2EA644F6">
            <w:pPr>
              <w:pStyle w:val="7"/>
            </w:pPr>
            <w:r>
              <w:t>各项指标服务时限</w:t>
            </w:r>
          </w:p>
        </w:tc>
        <w:tc>
          <w:tcPr>
            <w:tcW w:w="2551" w:type="dxa"/>
            <w:vAlign w:val="center"/>
          </w:tcPr>
          <w:p w14:paraId="77595ECD">
            <w:pPr>
              <w:pStyle w:val="7"/>
            </w:pPr>
            <w:r>
              <w:t>2025年12月31日前</w:t>
            </w:r>
          </w:p>
        </w:tc>
      </w:tr>
      <w:tr w14:paraId="76602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55BD63"/>
        </w:tc>
        <w:tc>
          <w:tcPr>
            <w:tcW w:w="1276" w:type="dxa"/>
            <w:vAlign w:val="center"/>
          </w:tcPr>
          <w:p w14:paraId="5EF0D2B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73A5BE5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3DD2235C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33EA2911">
            <w:pPr>
              <w:pStyle w:val="7"/>
            </w:pPr>
            <w:r>
              <w:t>≤109元/人</w:t>
            </w:r>
          </w:p>
        </w:tc>
      </w:tr>
      <w:tr w14:paraId="5FBAE6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875CE7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41CA72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2546D2F">
            <w:pPr>
              <w:pStyle w:val="7"/>
            </w:pPr>
            <w:r>
              <w:t>提高老年人高血压、糖尿病等慢病的控制率，提高危险因素的控制，减少并发症，满足其基本公共卫生服务需求，促进居民心理和身体健康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536E230C">
            <w:pPr>
              <w:pStyle w:val="7"/>
            </w:pPr>
            <w:r>
              <w:t>提高老年人高血压、糖尿病等慢病的控制率，提高危险因素的控制，减少并发症，满足其基本公共卫生服务需求，促进居民心理和身体健康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4C7E619F">
            <w:pPr>
              <w:pStyle w:val="7"/>
            </w:pPr>
            <w:r>
              <w:t>大幅改善</w:t>
            </w:r>
          </w:p>
        </w:tc>
      </w:tr>
      <w:tr w14:paraId="4DAE3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C87C0D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0E540B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01684EA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7BC6F411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37D1A5D4">
            <w:pPr>
              <w:pStyle w:val="7"/>
            </w:pPr>
            <w:r>
              <w:t>≥95%</w:t>
            </w:r>
          </w:p>
        </w:tc>
      </w:tr>
    </w:tbl>
    <w:p w14:paraId="759AC191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F7E4ED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1AAF39D-4391-4ABA-AE21-7270CB9D0835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EBE2B238-1EA6-45AD-AE6D-DDE33970AE7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A232403-EA55-40D2-BDF2-0A15CB9BD42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35627"/>
    <w:rsid w:val="7A83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2025-02-06T05:43:00Z</dcterms:created>
  <dc:creator>S.mile</dc:creator>
  <cp:lastModifiedBy>S.mile</cp:lastModifiedBy>
  <dcterms:modified xsi:type="dcterms:W3CDTF">2025-02-06T05:43:07Z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A830DCD83EB544F88A9069E01F0DEED2_11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