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AA757F">
      <w:pPr>
        <w:spacing w:before="0" w:after="0"/>
        <w:ind w:firstLine="560"/>
        <w:jc w:val="left"/>
        <w:outlineLvl w:val="3"/>
      </w:pPr>
      <w:bookmarkStart w:id="0" w:name="_Toc_4_4_0000000090"/>
      <w:r>
        <w:rPr>
          <w:rFonts w:ascii="方正仿宋_GBK" w:hAnsi="方正仿宋_GBK" w:eastAsia="方正仿宋_GBK" w:cs="方正仿宋_GBK"/>
          <w:sz w:val="28"/>
        </w:rPr>
        <w:t>86.基本公共卫生服务补助资金-2025年区级绩效目标表</w:t>
      </w:r>
      <w:bookmarkEnd w:id="0"/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FFFFFF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1327"/>
        <w:gridCol w:w="1327"/>
        <w:gridCol w:w="1327"/>
        <w:gridCol w:w="1327"/>
      </w:tblGrid>
      <w:tr w14:paraId="62AB5726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8589" w:type="dxa"/>
            <w:gridSpan w:val="6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46E93CE8">
            <w:pPr>
              <w:pStyle w:val="4"/>
            </w:pPr>
            <w:r>
              <w:t>368227天津市滨海新区小王庄镇社区卫生服务中心</w:t>
            </w:r>
          </w:p>
        </w:tc>
        <w:tc>
          <w:tcPr>
            <w:tcW w:w="1276" w:type="dxa"/>
            <w:tcBorders>
              <w:top w:val="single" w:color="FFFFFF" w:sz="6" w:space="0"/>
              <w:left w:val="single" w:color="FFFFFF" w:sz="6" w:space="0"/>
              <w:right w:val="single" w:color="FFFFFF" w:sz="6" w:space="0"/>
            </w:tcBorders>
            <w:vAlign w:val="center"/>
          </w:tcPr>
          <w:p w14:paraId="7DABF2C9">
            <w:pPr>
              <w:pStyle w:val="5"/>
            </w:pPr>
            <w:r>
              <w:t>单位：元</w:t>
            </w:r>
          </w:p>
        </w:tc>
      </w:tr>
      <w:tr w14:paraId="46053494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3D761F5">
            <w:pPr>
              <w:pStyle w:val="6"/>
            </w:pPr>
            <w:r>
              <w:t>项目名称</w:t>
            </w:r>
          </w:p>
        </w:tc>
        <w:tc>
          <w:tcPr>
            <w:tcW w:w="8589" w:type="dxa"/>
            <w:gridSpan w:val="6"/>
            <w:vAlign w:val="center"/>
          </w:tcPr>
          <w:p w14:paraId="0219B2FE">
            <w:pPr>
              <w:pStyle w:val="7"/>
            </w:pPr>
            <w:r>
              <w:t>基本公共卫生服务补助资金-2025年区级</w:t>
            </w:r>
          </w:p>
        </w:tc>
      </w:tr>
      <w:tr w14:paraId="330CDBF7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63EB56BC">
            <w:pPr>
              <w:pStyle w:val="6"/>
            </w:pPr>
            <w:r>
              <w:t>预算规模及资金用途</w:t>
            </w:r>
          </w:p>
        </w:tc>
        <w:tc>
          <w:tcPr>
            <w:tcW w:w="1276" w:type="dxa"/>
            <w:vAlign w:val="center"/>
          </w:tcPr>
          <w:p w14:paraId="0A84DAB5">
            <w:pPr>
              <w:pStyle w:val="6"/>
            </w:pPr>
            <w:r>
              <w:t>预算数</w:t>
            </w:r>
          </w:p>
        </w:tc>
        <w:tc>
          <w:tcPr>
            <w:tcW w:w="1332" w:type="dxa"/>
            <w:vAlign w:val="center"/>
          </w:tcPr>
          <w:p w14:paraId="22F6692E">
            <w:pPr>
              <w:pStyle w:val="7"/>
            </w:pPr>
            <w:r>
              <w:t>1380000.00</w:t>
            </w:r>
          </w:p>
        </w:tc>
        <w:tc>
          <w:tcPr>
            <w:tcW w:w="1587" w:type="dxa"/>
            <w:vAlign w:val="center"/>
          </w:tcPr>
          <w:p w14:paraId="7683F7C1">
            <w:pPr>
              <w:pStyle w:val="6"/>
            </w:pPr>
            <w:r>
              <w:t>其中：财政    资金</w:t>
            </w:r>
          </w:p>
        </w:tc>
        <w:tc>
          <w:tcPr>
            <w:tcW w:w="1843" w:type="dxa"/>
            <w:vAlign w:val="center"/>
          </w:tcPr>
          <w:p w14:paraId="7269ED29">
            <w:pPr>
              <w:pStyle w:val="7"/>
            </w:pPr>
            <w:r>
              <w:t>1380000.00</w:t>
            </w:r>
          </w:p>
        </w:tc>
        <w:tc>
          <w:tcPr>
            <w:tcW w:w="1276" w:type="dxa"/>
            <w:vAlign w:val="center"/>
          </w:tcPr>
          <w:p w14:paraId="3444116F">
            <w:pPr>
              <w:pStyle w:val="6"/>
            </w:pPr>
            <w:r>
              <w:t>其他资金</w:t>
            </w:r>
          </w:p>
        </w:tc>
        <w:tc>
          <w:tcPr>
            <w:tcW w:w="1276" w:type="dxa"/>
            <w:vAlign w:val="center"/>
          </w:tcPr>
          <w:p w14:paraId="3E262111">
            <w:pPr>
              <w:pStyle w:val="7"/>
            </w:pPr>
            <w:r>
              <w:t xml:space="preserve"> </w:t>
            </w:r>
          </w:p>
        </w:tc>
      </w:tr>
      <w:tr w14:paraId="313DD75C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</w:tcPr>
          <w:p w14:paraId="10B9475D"/>
        </w:tc>
        <w:tc>
          <w:tcPr>
            <w:tcW w:w="8589" w:type="dxa"/>
            <w:gridSpan w:val="6"/>
            <w:vAlign w:val="center"/>
          </w:tcPr>
          <w:p w14:paraId="55DBDB27">
            <w:pPr>
              <w:pStyle w:val="7"/>
            </w:pPr>
            <w:r>
              <w:t>通过对居民进行建档及免疫规划接种，对0-6岁儿童、孕产妇、高血压及糖尿病患者进行管理，为辖区居民提供基本公共卫生服务，辖区0-6岁儿童及孕产妇健康管理水平，提高高血压、糖尿病等慢病的控制率，提高我先因素的控制，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  <w:tr w14:paraId="45B48A80">
        <w:tblPrEx>
          <w:tblBorders>
            <w:top w:val="single" w:color="000000" w:sz="6" w:space="0"/>
            <w:left w:val="single" w:color="000000" w:sz="6" w:space="0"/>
            <w:bottom w:val="single" w:color="FFFFFF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643F6D">
            <w:pPr>
              <w:pStyle w:val="6"/>
            </w:pPr>
            <w:r>
              <w:t>绩效目标</w:t>
            </w:r>
          </w:p>
        </w:tc>
        <w:tc>
          <w:tcPr>
            <w:tcW w:w="8589" w:type="dxa"/>
            <w:gridSpan w:val="6"/>
            <w:vAlign w:val="center"/>
          </w:tcPr>
          <w:p w14:paraId="0695A3A2">
            <w:pPr>
              <w:pStyle w:val="7"/>
            </w:pPr>
            <w:r>
              <w:t>1.通过对居民进行建档及免疫规划接种，对0-6岁儿童、孕产妇、高血压及糖尿病患者进行管理，为辖区居民提供基本公共卫生服务，辖区0-6岁儿童及孕产妇健康管理水平，提高高血压、糖尿病等慢病的控制率，提高我先因素的控制，减少并发症，促进居民心理和身体健康。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</w:tc>
      </w:tr>
    </w:tbl>
    <w:p w14:paraId="24E292F5">
      <w:pPr>
        <w:spacing w:before="0" w:after="0" w:line="2" w:lineRule="exact"/>
        <w:ind w:firstLine="0"/>
        <w:jc w:val="center"/>
        <w:outlineLvl w:val="9"/>
      </w:pPr>
      <w:r>
        <w:rPr>
          <w:rFonts w:ascii="方正书宋_GBK" w:hAnsi="方正书宋_GBK" w:eastAsia="方正书宋_GBK" w:cs="方正书宋_GBK"/>
          <w:sz w:val="21"/>
        </w:rPr>
        <w:t xml:space="preserve"> </w:t>
      </w:r>
    </w:p>
    <w:tbl>
      <w:tblPr>
        <w:tblStyle w:val="2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327"/>
        <w:gridCol w:w="1327"/>
        <w:gridCol w:w="2654"/>
        <w:gridCol w:w="2654"/>
      </w:tblGrid>
      <w:tr w14:paraId="4B96E1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276" w:type="dxa"/>
            <w:vAlign w:val="center"/>
          </w:tcPr>
          <w:p w14:paraId="7256ED52">
            <w:pPr>
              <w:pStyle w:val="6"/>
            </w:pPr>
            <w:r>
              <w:t>一级指标</w:t>
            </w:r>
          </w:p>
        </w:tc>
        <w:tc>
          <w:tcPr>
            <w:tcW w:w="1276" w:type="dxa"/>
            <w:vAlign w:val="center"/>
          </w:tcPr>
          <w:p w14:paraId="486BDC68">
            <w:pPr>
              <w:pStyle w:val="6"/>
            </w:pPr>
            <w:r>
              <w:t>二级指标</w:t>
            </w:r>
          </w:p>
        </w:tc>
        <w:tc>
          <w:tcPr>
            <w:tcW w:w="1332" w:type="dxa"/>
            <w:vAlign w:val="center"/>
          </w:tcPr>
          <w:p w14:paraId="29BFC9F5">
            <w:pPr>
              <w:pStyle w:val="6"/>
            </w:pPr>
            <w:r>
              <w:t>三级指标</w:t>
            </w:r>
          </w:p>
        </w:tc>
        <w:tc>
          <w:tcPr>
            <w:tcW w:w="3430" w:type="dxa"/>
            <w:vAlign w:val="center"/>
          </w:tcPr>
          <w:p w14:paraId="64DECD17">
            <w:pPr>
              <w:pStyle w:val="6"/>
            </w:pPr>
            <w:r>
              <w:t>绩效指标描述</w:t>
            </w:r>
          </w:p>
        </w:tc>
        <w:tc>
          <w:tcPr>
            <w:tcW w:w="2551" w:type="dxa"/>
            <w:vAlign w:val="center"/>
          </w:tcPr>
          <w:p w14:paraId="4F4DD792">
            <w:pPr>
              <w:pStyle w:val="6"/>
            </w:pPr>
            <w:r>
              <w:t>指标值</w:t>
            </w:r>
          </w:p>
        </w:tc>
      </w:tr>
      <w:tr w14:paraId="0F3190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restart"/>
            <w:vAlign w:val="center"/>
          </w:tcPr>
          <w:p w14:paraId="00746C0D">
            <w:pPr>
              <w:pStyle w:val="8"/>
            </w:pPr>
            <w:r>
              <w:t>产出指标</w:t>
            </w:r>
          </w:p>
        </w:tc>
        <w:tc>
          <w:tcPr>
            <w:tcW w:w="1276" w:type="dxa"/>
            <w:vAlign w:val="center"/>
          </w:tcPr>
          <w:p w14:paraId="5FE25B17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566EEAA3">
            <w:pPr>
              <w:pStyle w:val="7"/>
            </w:pPr>
            <w:r>
              <w:t>完成居民建档数</w:t>
            </w:r>
          </w:p>
        </w:tc>
        <w:tc>
          <w:tcPr>
            <w:tcW w:w="3430" w:type="dxa"/>
            <w:vAlign w:val="center"/>
          </w:tcPr>
          <w:p w14:paraId="0C6B1216">
            <w:pPr>
              <w:pStyle w:val="7"/>
            </w:pPr>
            <w:r>
              <w:t>完成居民建档数</w:t>
            </w:r>
          </w:p>
        </w:tc>
        <w:tc>
          <w:tcPr>
            <w:tcW w:w="2551" w:type="dxa"/>
            <w:vAlign w:val="center"/>
          </w:tcPr>
          <w:p w14:paraId="58B2F809">
            <w:pPr>
              <w:pStyle w:val="7"/>
            </w:pPr>
            <w:r>
              <w:t>≥24500份</w:t>
            </w:r>
          </w:p>
        </w:tc>
      </w:tr>
      <w:tr w14:paraId="7DB5D8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485AD2FC"/>
        </w:tc>
        <w:tc>
          <w:tcPr>
            <w:tcW w:w="1276" w:type="dxa"/>
            <w:vAlign w:val="center"/>
          </w:tcPr>
          <w:p w14:paraId="05A5A29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1D4E1400">
            <w:pPr>
              <w:pStyle w:val="7"/>
            </w:pPr>
            <w:r>
              <w:t>完成各类免疫规划接种剂次</w:t>
            </w:r>
          </w:p>
        </w:tc>
        <w:tc>
          <w:tcPr>
            <w:tcW w:w="3430" w:type="dxa"/>
            <w:vAlign w:val="center"/>
          </w:tcPr>
          <w:p w14:paraId="3A3E81E6">
            <w:pPr>
              <w:pStyle w:val="7"/>
            </w:pPr>
            <w:r>
              <w:t>完成各类免疫规划接种剂次</w:t>
            </w:r>
          </w:p>
        </w:tc>
        <w:tc>
          <w:tcPr>
            <w:tcW w:w="2551" w:type="dxa"/>
            <w:vAlign w:val="center"/>
          </w:tcPr>
          <w:p w14:paraId="66374AC2">
            <w:pPr>
              <w:pStyle w:val="7"/>
            </w:pPr>
            <w:r>
              <w:t>≥3720次</w:t>
            </w:r>
          </w:p>
        </w:tc>
      </w:tr>
      <w:tr w14:paraId="7D31C25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2C43875"/>
        </w:tc>
        <w:tc>
          <w:tcPr>
            <w:tcW w:w="1276" w:type="dxa"/>
            <w:vAlign w:val="center"/>
          </w:tcPr>
          <w:p w14:paraId="2F7EEB80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47681EB9">
            <w:pPr>
              <w:pStyle w:val="7"/>
            </w:pPr>
            <w:r>
              <w:t>0-6岁儿童健康管理人次</w:t>
            </w:r>
          </w:p>
        </w:tc>
        <w:tc>
          <w:tcPr>
            <w:tcW w:w="3430" w:type="dxa"/>
            <w:vAlign w:val="center"/>
          </w:tcPr>
          <w:p w14:paraId="1EF4A1B9">
            <w:pPr>
              <w:pStyle w:val="7"/>
            </w:pPr>
            <w:r>
              <w:t>0-6岁儿童健康管理人次</w:t>
            </w:r>
          </w:p>
        </w:tc>
        <w:tc>
          <w:tcPr>
            <w:tcW w:w="2551" w:type="dxa"/>
            <w:vAlign w:val="center"/>
          </w:tcPr>
          <w:p w14:paraId="4C2FAA78">
            <w:pPr>
              <w:pStyle w:val="7"/>
            </w:pPr>
            <w:r>
              <w:t>≥532人次</w:t>
            </w:r>
          </w:p>
        </w:tc>
      </w:tr>
      <w:tr w14:paraId="28CF71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1441F08"/>
        </w:tc>
        <w:tc>
          <w:tcPr>
            <w:tcW w:w="1276" w:type="dxa"/>
            <w:vAlign w:val="center"/>
          </w:tcPr>
          <w:p w14:paraId="216328A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70D4C5F2">
            <w:pPr>
              <w:pStyle w:val="7"/>
            </w:pPr>
            <w:r>
              <w:t>孕产妇系统管理人次</w:t>
            </w:r>
          </w:p>
        </w:tc>
        <w:tc>
          <w:tcPr>
            <w:tcW w:w="3430" w:type="dxa"/>
            <w:vAlign w:val="center"/>
          </w:tcPr>
          <w:p w14:paraId="1ECEFAAC">
            <w:pPr>
              <w:pStyle w:val="7"/>
            </w:pPr>
            <w:r>
              <w:t>孕产妇系统管理人次</w:t>
            </w:r>
          </w:p>
        </w:tc>
        <w:tc>
          <w:tcPr>
            <w:tcW w:w="2551" w:type="dxa"/>
            <w:vAlign w:val="center"/>
          </w:tcPr>
          <w:p w14:paraId="5F389F1B">
            <w:pPr>
              <w:pStyle w:val="7"/>
            </w:pPr>
            <w:r>
              <w:t>≥52人次</w:t>
            </w:r>
          </w:p>
        </w:tc>
      </w:tr>
      <w:tr w14:paraId="058C7D6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CF582D2"/>
        </w:tc>
        <w:tc>
          <w:tcPr>
            <w:tcW w:w="1276" w:type="dxa"/>
            <w:vAlign w:val="center"/>
          </w:tcPr>
          <w:p w14:paraId="5F7EE6A9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3FE9BB49">
            <w:pPr>
              <w:pStyle w:val="7"/>
            </w:pPr>
            <w:r>
              <w:t>高血压患者管理人次</w:t>
            </w:r>
          </w:p>
        </w:tc>
        <w:tc>
          <w:tcPr>
            <w:tcW w:w="3430" w:type="dxa"/>
            <w:vAlign w:val="center"/>
          </w:tcPr>
          <w:p w14:paraId="0BAA624D">
            <w:pPr>
              <w:pStyle w:val="7"/>
            </w:pPr>
            <w:r>
              <w:t>高血压患者管理人次</w:t>
            </w:r>
          </w:p>
        </w:tc>
        <w:tc>
          <w:tcPr>
            <w:tcW w:w="2551" w:type="dxa"/>
            <w:vAlign w:val="center"/>
          </w:tcPr>
          <w:p w14:paraId="09F8FA13">
            <w:pPr>
              <w:pStyle w:val="7"/>
            </w:pPr>
            <w:r>
              <w:t>≥3198人次</w:t>
            </w:r>
          </w:p>
        </w:tc>
      </w:tr>
      <w:tr w14:paraId="1CC2BE0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376D7C"/>
        </w:tc>
        <w:tc>
          <w:tcPr>
            <w:tcW w:w="1276" w:type="dxa"/>
            <w:vAlign w:val="center"/>
          </w:tcPr>
          <w:p w14:paraId="66033A24">
            <w:pPr>
              <w:pStyle w:val="7"/>
            </w:pPr>
            <w:r>
              <w:t>数量指标</w:t>
            </w:r>
          </w:p>
        </w:tc>
        <w:tc>
          <w:tcPr>
            <w:tcW w:w="1332" w:type="dxa"/>
            <w:vAlign w:val="center"/>
          </w:tcPr>
          <w:p w14:paraId="20D566F5">
            <w:pPr>
              <w:pStyle w:val="7"/>
            </w:pPr>
            <w:r>
              <w:t>糖尿病患者管理人次</w:t>
            </w:r>
          </w:p>
        </w:tc>
        <w:tc>
          <w:tcPr>
            <w:tcW w:w="3430" w:type="dxa"/>
            <w:vAlign w:val="center"/>
          </w:tcPr>
          <w:p w14:paraId="6C0373DC">
            <w:pPr>
              <w:pStyle w:val="7"/>
            </w:pPr>
            <w:r>
              <w:t>糖尿病患者管理人次</w:t>
            </w:r>
          </w:p>
        </w:tc>
        <w:tc>
          <w:tcPr>
            <w:tcW w:w="2551" w:type="dxa"/>
            <w:vAlign w:val="center"/>
          </w:tcPr>
          <w:p w14:paraId="657211E3">
            <w:pPr>
              <w:pStyle w:val="7"/>
            </w:pPr>
            <w:r>
              <w:t>≥1246人次</w:t>
            </w:r>
          </w:p>
        </w:tc>
      </w:tr>
      <w:tr w14:paraId="74251B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0857B8A"/>
        </w:tc>
        <w:tc>
          <w:tcPr>
            <w:tcW w:w="1276" w:type="dxa"/>
            <w:vAlign w:val="center"/>
          </w:tcPr>
          <w:p w14:paraId="40DA75DC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527589DE">
            <w:pPr>
              <w:pStyle w:val="7"/>
            </w:pPr>
            <w:r>
              <w:t>居民电子档案覆盖率</w:t>
            </w:r>
          </w:p>
        </w:tc>
        <w:tc>
          <w:tcPr>
            <w:tcW w:w="3430" w:type="dxa"/>
            <w:vAlign w:val="center"/>
          </w:tcPr>
          <w:p w14:paraId="5ACCD91D">
            <w:pPr>
              <w:pStyle w:val="7"/>
            </w:pPr>
            <w:r>
              <w:t>居民电子档案覆盖率</w:t>
            </w:r>
          </w:p>
        </w:tc>
        <w:tc>
          <w:tcPr>
            <w:tcW w:w="2551" w:type="dxa"/>
            <w:vAlign w:val="center"/>
          </w:tcPr>
          <w:p w14:paraId="2FDEEFED">
            <w:pPr>
              <w:pStyle w:val="7"/>
            </w:pPr>
            <w:r>
              <w:t>≥90%</w:t>
            </w:r>
          </w:p>
        </w:tc>
      </w:tr>
      <w:tr w14:paraId="2330AC9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591676E9"/>
        </w:tc>
        <w:tc>
          <w:tcPr>
            <w:tcW w:w="1276" w:type="dxa"/>
            <w:vAlign w:val="center"/>
          </w:tcPr>
          <w:p w14:paraId="296653B2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2407471F">
            <w:pPr>
              <w:pStyle w:val="7"/>
            </w:pPr>
            <w:r>
              <w:t>65岁老年人规范管理率</w:t>
            </w:r>
          </w:p>
        </w:tc>
        <w:tc>
          <w:tcPr>
            <w:tcW w:w="3430" w:type="dxa"/>
            <w:vAlign w:val="center"/>
          </w:tcPr>
          <w:p w14:paraId="4EEB3725">
            <w:pPr>
              <w:pStyle w:val="7"/>
            </w:pPr>
            <w:r>
              <w:t>65岁老年人规范管理率</w:t>
            </w:r>
          </w:p>
        </w:tc>
        <w:tc>
          <w:tcPr>
            <w:tcW w:w="2551" w:type="dxa"/>
            <w:vAlign w:val="center"/>
          </w:tcPr>
          <w:p w14:paraId="167E9DB5">
            <w:pPr>
              <w:pStyle w:val="7"/>
            </w:pPr>
            <w:r>
              <w:t>≥80%</w:t>
            </w:r>
          </w:p>
        </w:tc>
      </w:tr>
      <w:tr w14:paraId="1597401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5BB1BCA"/>
        </w:tc>
        <w:tc>
          <w:tcPr>
            <w:tcW w:w="1276" w:type="dxa"/>
            <w:vAlign w:val="center"/>
          </w:tcPr>
          <w:p w14:paraId="1BD18866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16C3AC96">
            <w:pPr>
              <w:pStyle w:val="7"/>
            </w:pPr>
            <w:r>
              <w:t>高血压、Ⅱ型糖尿病规范管理率</w:t>
            </w:r>
          </w:p>
        </w:tc>
        <w:tc>
          <w:tcPr>
            <w:tcW w:w="3430" w:type="dxa"/>
            <w:vAlign w:val="center"/>
          </w:tcPr>
          <w:p w14:paraId="0038F9A3">
            <w:pPr>
              <w:pStyle w:val="7"/>
            </w:pPr>
            <w:r>
              <w:t>高血压、Ⅱ型糖尿病规范管理率</w:t>
            </w:r>
          </w:p>
        </w:tc>
        <w:tc>
          <w:tcPr>
            <w:tcW w:w="2551" w:type="dxa"/>
            <w:vAlign w:val="center"/>
          </w:tcPr>
          <w:p w14:paraId="4982C1D4">
            <w:pPr>
              <w:pStyle w:val="7"/>
            </w:pPr>
            <w:r>
              <w:t>≥80%</w:t>
            </w:r>
          </w:p>
        </w:tc>
      </w:tr>
      <w:tr w14:paraId="2E6EEF0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33C8E72"/>
        </w:tc>
        <w:tc>
          <w:tcPr>
            <w:tcW w:w="1276" w:type="dxa"/>
            <w:vAlign w:val="center"/>
          </w:tcPr>
          <w:p w14:paraId="0018C6C1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783E7CD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3430" w:type="dxa"/>
            <w:vAlign w:val="center"/>
          </w:tcPr>
          <w:p w14:paraId="0DD9DF72">
            <w:pPr>
              <w:pStyle w:val="7"/>
            </w:pPr>
            <w:r>
              <w:t>在册居家严重精神障碍患者健康管理率</w:t>
            </w:r>
          </w:p>
        </w:tc>
        <w:tc>
          <w:tcPr>
            <w:tcW w:w="2551" w:type="dxa"/>
            <w:vAlign w:val="center"/>
          </w:tcPr>
          <w:p w14:paraId="21FDC457">
            <w:pPr>
              <w:pStyle w:val="7"/>
            </w:pPr>
            <w:r>
              <w:t>≥95%</w:t>
            </w:r>
          </w:p>
        </w:tc>
      </w:tr>
      <w:tr w14:paraId="15D4A45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34CBF279"/>
        </w:tc>
        <w:tc>
          <w:tcPr>
            <w:tcW w:w="1276" w:type="dxa"/>
            <w:vAlign w:val="center"/>
          </w:tcPr>
          <w:p w14:paraId="433C5278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755BD8D5">
            <w:pPr>
              <w:pStyle w:val="7"/>
            </w:pPr>
            <w:r>
              <w:t>肺结核患者管理率</w:t>
            </w:r>
          </w:p>
        </w:tc>
        <w:tc>
          <w:tcPr>
            <w:tcW w:w="3430" w:type="dxa"/>
            <w:vAlign w:val="center"/>
          </w:tcPr>
          <w:p w14:paraId="40C6DB16">
            <w:pPr>
              <w:pStyle w:val="7"/>
            </w:pPr>
            <w:r>
              <w:t>肺结核患者管理率</w:t>
            </w:r>
          </w:p>
        </w:tc>
        <w:tc>
          <w:tcPr>
            <w:tcW w:w="2551" w:type="dxa"/>
            <w:vAlign w:val="center"/>
          </w:tcPr>
          <w:p w14:paraId="12D630C9">
            <w:pPr>
              <w:pStyle w:val="7"/>
            </w:pPr>
            <w:r>
              <w:t>≥100%</w:t>
            </w:r>
          </w:p>
        </w:tc>
      </w:tr>
      <w:tr w14:paraId="4EC7EFA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2484EBBC"/>
        </w:tc>
        <w:tc>
          <w:tcPr>
            <w:tcW w:w="1276" w:type="dxa"/>
            <w:vAlign w:val="center"/>
          </w:tcPr>
          <w:p w14:paraId="41BB2749">
            <w:pPr>
              <w:pStyle w:val="7"/>
            </w:pPr>
            <w:r>
              <w:t>质量指标</w:t>
            </w:r>
          </w:p>
        </w:tc>
        <w:tc>
          <w:tcPr>
            <w:tcW w:w="1332" w:type="dxa"/>
            <w:vAlign w:val="center"/>
          </w:tcPr>
          <w:p w14:paraId="6C52AEBA">
            <w:pPr>
              <w:pStyle w:val="7"/>
            </w:pPr>
            <w:r>
              <w:t>传染病和突发公共卫生事件报告率</w:t>
            </w:r>
          </w:p>
        </w:tc>
        <w:tc>
          <w:tcPr>
            <w:tcW w:w="3430" w:type="dxa"/>
            <w:vAlign w:val="center"/>
          </w:tcPr>
          <w:p w14:paraId="2C7DCA2F">
            <w:pPr>
              <w:pStyle w:val="7"/>
            </w:pPr>
            <w:r>
              <w:t>传染病和突发公共卫生事件报告率</w:t>
            </w:r>
          </w:p>
        </w:tc>
        <w:tc>
          <w:tcPr>
            <w:tcW w:w="2551" w:type="dxa"/>
            <w:vAlign w:val="center"/>
          </w:tcPr>
          <w:p w14:paraId="301836A7">
            <w:pPr>
              <w:pStyle w:val="7"/>
            </w:pPr>
            <w:r>
              <w:t>≥98%</w:t>
            </w:r>
          </w:p>
        </w:tc>
      </w:tr>
      <w:tr w14:paraId="1122C6C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6159E4A3"/>
        </w:tc>
        <w:tc>
          <w:tcPr>
            <w:tcW w:w="1276" w:type="dxa"/>
            <w:vAlign w:val="center"/>
          </w:tcPr>
          <w:p w14:paraId="0C31B25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3B3A0660">
            <w:pPr>
              <w:pStyle w:val="7"/>
            </w:pPr>
            <w:r>
              <w:t>妇保儿保按计划完成时限</w:t>
            </w:r>
          </w:p>
        </w:tc>
        <w:tc>
          <w:tcPr>
            <w:tcW w:w="3430" w:type="dxa"/>
            <w:vAlign w:val="center"/>
          </w:tcPr>
          <w:p w14:paraId="45012B81">
            <w:pPr>
              <w:pStyle w:val="7"/>
            </w:pPr>
            <w:r>
              <w:t>妇保儿保按计划完成时限</w:t>
            </w:r>
          </w:p>
        </w:tc>
        <w:tc>
          <w:tcPr>
            <w:tcW w:w="2551" w:type="dxa"/>
            <w:vAlign w:val="center"/>
          </w:tcPr>
          <w:p w14:paraId="348D8904">
            <w:pPr>
              <w:pStyle w:val="7"/>
            </w:pPr>
            <w:r>
              <w:t>2025年12月31日</w:t>
            </w:r>
          </w:p>
        </w:tc>
      </w:tr>
      <w:tr w14:paraId="2F91E52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13371136"/>
        </w:tc>
        <w:tc>
          <w:tcPr>
            <w:tcW w:w="1276" w:type="dxa"/>
            <w:vAlign w:val="center"/>
          </w:tcPr>
          <w:p w14:paraId="522EE177">
            <w:pPr>
              <w:pStyle w:val="7"/>
            </w:pPr>
            <w:r>
              <w:t>时效指标</w:t>
            </w:r>
          </w:p>
        </w:tc>
        <w:tc>
          <w:tcPr>
            <w:tcW w:w="1332" w:type="dxa"/>
            <w:vAlign w:val="center"/>
          </w:tcPr>
          <w:p w14:paraId="67C8F352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3430" w:type="dxa"/>
            <w:vAlign w:val="center"/>
          </w:tcPr>
          <w:p w14:paraId="24E4D776">
            <w:pPr>
              <w:pStyle w:val="7"/>
            </w:pPr>
            <w:r>
              <w:t>高血压、糖尿病、老年人、计划免疫、传染病等基本公共卫生服务时限</w:t>
            </w:r>
          </w:p>
        </w:tc>
        <w:tc>
          <w:tcPr>
            <w:tcW w:w="2551" w:type="dxa"/>
            <w:vAlign w:val="center"/>
          </w:tcPr>
          <w:p w14:paraId="64FE1B06">
            <w:pPr>
              <w:pStyle w:val="7"/>
            </w:pPr>
            <w:r>
              <w:t>2025年12月31日</w:t>
            </w:r>
          </w:p>
        </w:tc>
      </w:tr>
      <w:tr w14:paraId="222B793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Merge w:val="continue"/>
            <w:vAlign w:val="center"/>
          </w:tcPr>
          <w:p w14:paraId="79ECD3D6"/>
        </w:tc>
        <w:tc>
          <w:tcPr>
            <w:tcW w:w="1276" w:type="dxa"/>
            <w:vAlign w:val="center"/>
          </w:tcPr>
          <w:p w14:paraId="395E453C">
            <w:pPr>
              <w:pStyle w:val="7"/>
            </w:pPr>
            <w:r>
              <w:t>成本指标</w:t>
            </w:r>
          </w:p>
        </w:tc>
        <w:tc>
          <w:tcPr>
            <w:tcW w:w="1332" w:type="dxa"/>
            <w:vAlign w:val="center"/>
          </w:tcPr>
          <w:p w14:paraId="4599D8AB">
            <w:pPr>
              <w:pStyle w:val="7"/>
            </w:pPr>
            <w:r>
              <w:t>基本公共卫生补贴标准</w:t>
            </w:r>
          </w:p>
        </w:tc>
        <w:tc>
          <w:tcPr>
            <w:tcW w:w="3430" w:type="dxa"/>
            <w:vAlign w:val="center"/>
          </w:tcPr>
          <w:p w14:paraId="2A0B557E">
            <w:pPr>
              <w:pStyle w:val="7"/>
            </w:pPr>
            <w:r>
              <w:t>基本公共卫生补贴标准</w:t>
            </w:r>
          </w:p>
        </w:tc>
        <w:tc>
          <w:tcPr>
            <w:tcW w:w="2551" w:type="dxa"/>
            <w:vAlign w:val="center"/>
          </w:tcPr>
          <w:p w14:paraId="04DE0E2C">
            <w:pPr>
              <w:pStyle w:val="7"/>
            </w:pPr>
            <w:r>
              <w:t>114元/人</w:t>
            </w:r>
          </w:p>
        </w:tc>
      </w:tr>
      <w:tr w14:paraId="21FA70A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2683B30A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2D104D1A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E5CB977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3430" w:type="dxa"/>
            <w:vAlign w:val="center"/>
          </w:tcPr>
          <w:p w14:paraId="7FA36078">
            <w:pPr>
              <w:pStyle w:val="7"/>
            </w:pPr>
            <w:r>
              <w:t>辖区0-6岁儿童及孕产妇健康管理水平</w:t>
            </w:r>
          </w:p>
        </w:tc>
        <w:tc>
          <w:tcPr>
            <w:tcW w:w="2551" w:type="dxa"/>
            <w:vAlign w:val="center"/>
          </w:tcPr>
          <w:p w14:paraId="24892482">
            <w:pPr>
              <w:pStyle w:val="7"/>
            </w:pPr>
            <w:r>
              <w:t>有效提升</w:t>
            </w:r>
          </w:p>
        </w:tc>
      </w:tr>
      <w:tr w14:paraId="4714598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770859D7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43A930D6">
            <w:pPr>
              <w:pStyle w:val="7"/>
            </w:pPr>
            <w:r>
              <w:t>社会效益指标</w:t>
            </w:r>
          </w:p>
        </w:tc>
        <w:tc>
          <w:tcPr>
            <w:tcW w:w="1332" w:type="dxa"/>
            <w:vAlign w:val="center"/>
          </w:tcPr>
          <w:p w14:paraId="29FEC9C9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3430" w:type="dxa"/>
            <w:vAlign w:val="center"/>
          </w:tcPr>
          <w:p w14:paraId="6AAC7002">
            <w:pPr>
              <w:pStyle w:val="7"/>
            </w:pPr>
            <w:r>
              <w:t>提高老年人高血压、糖尿病等慢病的控制率，提高危险因素的控制，减少并发症</w:t>
            </w:r>
          </w:p>
        </w:tc>
        <w:tc>
          <w:tcPr>
            <w:tcW w:w="2551" w:type="dxa"/>
            <w:vAlign w:val="center"/>
          </w:tcPr>
          <w:p w14:paraId="1EAB1351">
            <w:pPr>
              <w:pStyle w:val="7"/>
            </w:pPr>
            <w:r>
              <w:t>效果显著</w:t>
            </w:r>
          </w:p>
        </w:tc>
      </w:tr>
      <w:tr w14:paraId="61C183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C41BCA6">
            <w:pPr>
              <w:pStyle w:val="8"/>
            </w:pPr>
            <w:r>
              <w:t>效益指标</w:t>
            </w:r>
          </w:p>
        </w:tc>
        <w:tc>
          <w:tcPr>
            <w:tcW w:w="1276" w:type="dxa"/>
            <w:vAlign w:val="center"/>
          </w:tcPr>
          <w:p w14:paraId="08A12E36">
            <w:pPr>
              <w:pStyle w:val="7"/>
            </w:pPr>
            <w:r>
              <w:t>可持续影响指标</w:t>
            </w:r>
          </w:p>
        </w:tc>
        <w:tc>
          <w:tcPr>
            <w:tcW w:w="1332" w:type="dxa"/>
            <w:vAlign w:val="center"/>
          </w:tcPr>
          <w:p w14:paraId="59433B71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3430" w:type="dxa"/>
            <w:vAlign w:val="center"/>
          </w:tcPr>
          <w:p w14:paraId="2719D9CD">
            <w:pPr>
              <w:pStyle w:val="7"/>
            </w:pPr>
            <w:r>
              <w:t>满足其基本公共卫生服务需求，促进居民心理和身体健康</w:t>
            </w:r>
          </w:p>
        </w:tc>
        <w:tc>
          <w:tcPr>
            <w:tcW w:w="2551" w:type="dxa"/>
            <w:vAlign w:val="center"/>
          </w:tcPr>
          <w:p w14:paraId="7C9213FA">
            <w:pPr>
              <w:pStyle w:val="7"/>
            </w:pPr>
            <w:r>
              <w:t>持续有效</w:t>
            </w:r>
          </w:p>
        </w:tc>
      </w:tr>
      <w:tr w14:paraId="6FBCA4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276" w:type="dxa"/>
            <w:vAlign w:val="center"/>
          </w:tcPr>
          <w:p w14:paraId="39CF9438">
            <w:pPr>
              <w:pStyle w:val="8"/>
            </w:pPr>
            <w:r>
              <w:t>满意度指标</w:t>
            </w:r>
          </w:p>
        </w:tc>
        <w:tc>
          <w:tcPr>
            <w:tcW w:w="1276" w:type="dxa"/>
            <w:vAlign w:val="center"/>
          </w:tcPr>
          <w:p w14:paraId="3A0E1EF4">
            <w:pPr>
              <w:pStyle w:val="7"/>
            </w:pPr>
            <w:r>
              <w:t>服务对象满意度指标</w:t>
            </w:r>
          </w:p>
        </w:tc>
        <w:tc>
          <w:tcPr>
            <w:tcW w:w="1332" w:type="dxa"/>
            <w:vAlign w:val="center"/>
          </w:tcPr>
          <w:p w14:paraId="0FF88F11">
            <w:pPr>
              <w:pStyle w:val="7"/>
            </w:pPr>
            <w:r>
              <w:t>居民满意度</w:t>
            </w:r>
          </w:p>
        </w:tc>
        <w:tc>
          <w:tcPr>
            <w:tcW w:w="3430" w:type="dxa"/>
            <w:vAlign w:val="center"/>
          </w:tcPr>
          <w:p w14:paraId="1AE5F4C7">
            <w:pPr>
              <w:pStyle w:val="7"/>
            </w:pPr>
            <w:r>
              <w:t>居民满意度</w:t>
            </w:r>
          </w:p>
        </w:tc>
        <w:tc>
          <w:tcPr>
            <w:tcW w:w="2551" w:type="dxa"/>
            <w:vAlign w:val="center"/>
          </w:tcPr>
          <w:p w14:paraId="2770687E">
            <w:pPr>
              <w:pStyle w:val="7"/>
            </w:pPr>
            <w:r>
              <w:t>≥80%</w:t>
            </w:r>
          </w:p>
        </w:tc>
      </w:tr>
    </w:tbl>
    <w:p w14:paraId="3DBE7F1E">
      <w:pPr>
        <w:sectPr>
          <w:footerReference r:id="rId3" w:type="default"/>
          <w:footerReference r:id="rId4" w:type="even"/>
          <w:pgSz w:w="11900" w:h="16840"/>
          <w:pgMar w:top="1984" w:right="1304" w:bottom="1134" w:left="1304" w:header="720" w:footer="720" w:gutter="0"/>
          <w:cols w:space="720" w:num="1"/>
        </w:sectPr>
      </w:pPr>
    </w:p>
    <w:p w14:paraId="26E6A2EB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6A068C3E-EAAB-478A-B965-40D90076C4BE}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E171F78C-71A1-453F-8B28-A91707C3827C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AEA01FC0-BDB4-442F-BDF0-25CF657304A6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96AE35">
    <w:pPr>
      <w:jc w:val="righ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AEB4E">
    <w:pPr>
      <w:jc w:val="left"/>
    </w:pPr>
    <w:r>
      <w:fldChar w:fldCharType="begin"/>
    </w:r>
    <w:r>
      <w:instrText xml:space="preserve">PAGE "page number"</w:instrText>
    </w:r>
    <w:r>
      <w:fldChar w:fldCharType="separate"/>
    </w:r>
    <w:r>
      <w:t>page number</w:t>
    </w:r>
    <w: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4A58D8"/>
    <w:rsid w:val="6B4A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单元格样式5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5">
    <w:name w:val="单元格样式4"/>
    <w:basedOn w:val="1"/>
    <w:qFormat/>
    <w:uiPriority w:val="0"/>
    <w:pPr>
      <w:spacing w:before="0" w:after="0"/>
      <w:ind w:firstLine="0"/>
      <w:jc w:val="righ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6">
    <w:name w:val="单元格样式1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b/>
      <w:sz w:val="21"/>
    </w:rPr>
  </w:style>
  <w:style w:type="paragraph" w:customStyle="1" w:styleId="7">
    <w:name w:val="单元格样式2"/>
    <w:basedOn w:val="1"/>
    <w:qFormat/>
    <w:uiPriority w:val="0"/>
    <w:pPr>
      <w:spacing w:before="0" w:after="0"/>
      <w:ind w:firstLine="0"/>
      <w:jc w:val="left"/>
      <w:outlineLvl w:val="9"/>
    </w:pPr>
    <w:rPr>
      <w:rFonts w:ascii="方正书宋_GBK" w:hAnsi="方正书宋_GBK" w:eastAsia="方正书宋_GBK" w:cs="方正书宋_GBK"/>
      <w:sz w:val="21"/>
    </w:rPr>
  </w:style>
  <w:style w:type="paragraph" w:customStyle="1" w:styleId="8">
    <w:name w:val="单元格样式3"/>
    <w:basedOn w:val="1"/>
    <w:qFormat/>
    <w:uiPriority w:val="0"/>
    <w:pPr>
      <w:spacing w:before="0" w:after="0"/>
      <w:ind w:firstLine="0"/>
      <w:jc w:val="center"/>
      <w:outlineLvl w:val="9"/>
    </w:pPr>
    <w:rPr>
      <w:rFonts w:ascii="方正书宋_GBK" w:hAnsi="方正书宋_GBK" w:eastAsia="方正书宋_GBK" w:cs="方正书宋_GBK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2025-02-06T05:39:00Z</dcterms:created>
  <dc:creator>S.mile</dc:creator>
  <cp:lastModifiedBy>S.mile</cp:lastModifiedBy>
  <dcterms:modified xsi:type="dcterms:W3CDTF">2025-02-06T05:39:31Z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CF18B35E4F104A33A0937F0D636D8E35_11</vt:lpwstr>
  </property>
  <property fmtid="{D5CDD505-2E9C-101B-9397-08002B2CF9AE}" pid="4" name="KSOTemplateDocerSaveRecord">
    <vt:lpwstr>eyJoZGlkIjoiYzIzNjhjZjkxMjg2OGJjOTQ0NThhNzBhOGI4YTVmYWYiLCJ1c2VySWQiOiIyNDA2NzM0NzUifQ==</vt:lpwstr>
  </property>
</Properties>
</file>