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5186C">
      <w:pPr>
        <w:spacing w:before="0" w:after="0"/>
        <w:ind w:firstLine="560"/>
        <w:jc w:val="left"/>
        <w:outlineLvl w:val="3"/>
      </w:pPr>
      <w:bookmarkStart w:id="0" w:name="_Toc_4_4_0000000091"/>
      <w:r>
        <w:rPr>
          <w:rFonts w:ascii="方正仿宋_GBK" w:hAnsi="方正仿宋_GBK" w:eastAsia="方正仿宋_GBK" w:cs="方正仿宋_GBK"/>
          <w:sz w:val="28"/>
        </w:rPr>
        <w:t>87.基本公共卫生服务补助资金-2025年区级绩效目标表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6B72E6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1F6DA06">
            <w:pPr>
              <w:pStyle w:val="4"/>
            </w:pPr>
            <w:r>
              <w:t>368228天津市滨海新区古林街社区卫生服务中心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6EE882B">
            <w:pPr>
              <w:pStyle w:val="5"/>
            </w:pPr>
            <w:r>
              <w:t>单位：元</w:t>
            </w:r>
          </w:p>
        </w:tc>
      </w:tr>
      <w:tr w14:paraId="51C203D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BDA6B48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0739765">
            <w:pPr>
              <w:pStyle w:val="7"/>
            </w:pPr>
            <w:r>
              <w:t>基本公共卫生服务补助资金-2025年区级</w:t>
            </w:r>
          </w:p>
        </w:tc>
      </w:tr>
      <w:tr w14:paraId="569F005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F836CC8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A0EDCF3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320CB54">
            <w:pPr>
              <w:pStyle w:val="7"/>
            </w:pPr>
            <w:r>
              <w:t>3580000.00</w:t>
            </w:r>
          </w:p>
        </w:tc>
        <w:tc>
          <w:tcPr>
            <w:tcW w:w="1587" w:type="dxa"/>
            <w:vAlign w:val="center"/>
          </w:tcPr>
          <w:p w14:paraId="017FC157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93993C6">
            <w:pPr>
              <w:pStyle w:val="7"/>
            </w:pPr>
            <w:r>
              <w:t>3580000.00</w:t>
            </w:r>
          </w:p>
        </w:tc>
        <w:tc>
          <w:tcPr>
            <w:tcW w:w="1276" w:type="dxa"/>
            <w:vAlign w:val="center"/>
          </w:tcPr>
          <w:p w14:paraId="39C3953B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DA9E31B">
            <w:pPr>
              <w:pStyle w:val="7"/>
            </w:pPr>
            <w:r>
              <w:t xml:space="preserve"> </w:t>
            </w:r>
          </w:p>
        </w:tc>
      </w:tr>
      <w:tr w14:paraId="12850B8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7C513EB"/>
        </w:tc>
        <w:tc>
          <w:tcPr>
            <w:tcW w:w="8589" w:type="dxa"/>
            <w:gridSpan w:val="6"/>
            <w:vAlign w:val="center"/>
          </w:tcPr>
          <w:p w14:paraId="7A1D0DA5">
            <w:pPr>
              <w:pStyle w:val="7"/>
            </w:pPr>
            <w:r>
              <w:t>通过对居民进行建档、免疫规划接种、对0-6岁儿童、孕产妇、高血压及糖尿病患者进行管理</w:t>
            </w:r>
          </w:p>
        </w:tc>
      </w:tr>
      <w:tr w14:paraId="213E00A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DD0F299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7A235B0">
            <w:pPr>
              <w:pStyle w:val="7"/>
            </w:pPr>
            <w:r>
              <w:t>1.通过对居民进行建档、免疫规划接种、对0-6岁儿童、孕产妇、高血压及糖尿病患者进行管理</w:t>
            </w:r>
          </w:p>
        </w:tc>
      </w:tr>
    </w:tbl>
    <w:p w14:paraId="7A498452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688C7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E5EAA62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186D510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AE3D34F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26F681A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87506D5">
            <w:pPr>
              <w:pStyle w:val="6"/>
            </w:pPr>
            <w:r>
              <w:t>指标值</w:t>
            </w:r>
          </w:p>
        </w:tc>
      </w:tr>
      <w:tr w14:paraId="675C22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97A1A93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976CFD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EE21F75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22CA9B86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69F16CBD">
            <w:pPr>
              <w:pStyle w:val="7"/>
            </w:pPr>
            <w:r>
              <w:t>≥8.86万份</w:t>
            </w:r>
          </w:p>
        </w:tc>
      </w:tr>
      <w:tr w14:paraId="40F26A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86F9FD"/>
        </w:tc>
        <w:tc>
          <w:tcPr>
            <w:tcW w:w="1276" w:type="dxa"/>
            <w:vAlign w:val="center"/>
          </w:tcPr>
          <w:p w14:paraId="1528568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0BCDA8E">
            <w:pPr>
              <w:pStyle w:val="7"/>
            </w:pPr>
            <w:r>
              <w:t>完成各类免疫规划接种剂次</w:t>
            </w:r>
          </w:p>
        </w:tc>
        <w:tc>
          <w:tcPr>
            <w:tcW w:w="3430" w:type="dxa"/>
            <w:vAlign w:val="center"/>
          </w:tcPr>
          <w:p w14:paraId="249A8AF6">
            <w:pPr>
              <w:pStyle w:val="7"/>
            </w:pPr>
            <w:r>
              <w:t>完成各类免疫规划接种剂次</w:t>
            </w:r>
          </w:p>
        </w:tc>
        <w:tc>
          <w:tcPr>
            <w:tcW w:w="2551" w:type="dxa"/>
            <w:vAlign w:val="center"/>
          </w:tcPr>
          <w:p w14:paraId="48287D84">
            <w:pPr>
              <w:pStyle w:val="7"/>
            </w:pPr>
            <w:r>
              <w:t>≥1.9万次</w:t>
            </w:r>
          </w:p>
        </w:tc>
      </w:tr>
      <w:tr w14:paraId="742FD0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7ADDB3F"/>
        </w:tc>
        <w:tc>
          <w:tcPr>
            <w:tcW w:w="1276" w:type="dxa"/>
            <w:vAlign w:val="center"/>
          </w:tcPr>
          <w:p w14:paraId="6EF59D7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D1F06FD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4D28D771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399A69A9">
            <w:pPr>
              <w:pStyle w:val="7"/>
            </w:pPr>
            <w:r>
              <w:t>≥0.65万人次</w:t>
            </w:r>
          </w:p>
        </w:tc>
      </w:tr>
      <w:tr w14:paraId="06395D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725FDB"/>
        </w:tc>
        <w:tc>
          <w:tcPr>
            <w:tcW w:w="1276" w:type="dxa"/>
            <w:vAlign w:val="center"/>
          </w:tcPr>
          <w:p w14:paraId="7A73B17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9DE5CF7">
            <w:pPr>
              <w:pStyle w:val="7"/>
            </w:pPr>
            <w:r>
              <w:t>孕产妇系统管理人次</w:t>
            </w:r>
          </w:p>
        </w:tc>
        <w:tc>
          <w:tcPr>
            <w:tcW w:w="3430" w:type="dxa"/>
            <w:vAlign w:val="center"/>
          </w:tcPr>
          <w:p w14:paraId="6D79EA1B">
            <w:pPr>
              <w:pStyle w:val="7"/>
            </w:pPr>
            <w:r>
              <w:t>孕产妇系统管理人次</w:t>
            </w:r>
          </w:p>
        </w:tc>
        <w:tc>
          <w:tcPr>
            <w:tcW w:w="2551" w:type="dxa"/>
            <w:vAlign w:val="center"/>
          </w:tcPr>
          <w:p w14:paraId="236E576B">
            <w:pPr>
              <w:pStyle w:val="7"/>
            </w:pPr>
            <w:r>
              <w:t>≥0.06万人次</w:t>
            </w:r>
          </w:p>
        </w:tc>
      </w:tr>
      <w:tr w14:paraId="5F9D1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0A6747"/>
        </w:tc>
        <w:tc>
          <w:tcPr>
            <w:tcW w:w="1276" w:type="dxa"/>
            <w:vAlign w:val="center"/>
          </w:tcPr>
          <w:p w14:paraId="4D4A4A2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EC9F88F">
            <w:pPr>
              <w:pStyle w:val="7"/>
            </w:pPr>
            <w:r>
              <w:t>高血压患者管理人次</w:t>
            </w:r>
          </w:p>
        </w:tc>
        <w:tc>
          <w:tcPr>
            <w:tcW w:w="3430" w:type="dxa"/>
            <w:vAlign w:val="center"/>
          </w:tcPr>
          <w:p w14:paraId="061D90E6">
            <w:pPr>
              <w:pStyle w:val="7"/>
            </w:pPr>
            <w:r>
              <w:t>高血压患者管理人次</w:t>
            </w:r>
          </w:p>
        </w:tc>
        <w:tc>
          <w:tcPr>
            <w:tcW w:w="2551" w:type="dxa"/>
            <w:vAlign w:val="center"/>
          </w:tcPr>
          <w:p w14:paraId="041974FE">
            <w:pPr>
              <w:pStyle w:val="7"/>
            </w:pPr>
            <w:r>
              <w:t>≥0.7万人次</w:t>
            </w:r>
          </w:p>
        </w:tc>
      </w:tr>
      <w:tr w14:paraId="381F0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5057282"/>
        </w:tc>
        <w:tc>
          <w:tcPr>
            <w:tcW w:w="1276" w:type="dxa"/>
            <w:vAlign w:val="center"/>
          </w:tcPr>
          <w:p w14:paraId="1CC9176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06FD792">
            <w:pPr>
              <w:pStyle w:val="7"/>
            </w:pPr>
            <w:r>
              <w:t>糖尿病患者管理人次</w:t>
            </w:r>
          </w:p>
        </w:tc>
        <w:tc>
          <w:tcPr>
            <w:tcW w:w="3430" w:type="dxa"/>
            <w:vAlign w:val="center"/>
          </w:tcPr>
          <w:p w14:paraId="2255D174">
            <w:pPr>
              <w:pStyle w:val="7"/>
            </w:pPr>
            <w:r>
              <w:t>糖尿病患者管理人次</w:t>
            </w:r>
          </w:p>
        </w:tc>
        <w:tc>
          <w:tcPr>
            <w:tcW w:w="2551" w:type="dxa"/>
            <w:vAlign w:val="center"/>
          </w:tcPr>
          <w:p w14:paraId="151F0CDA">
            <w:pPr>
              <w:pStyle w:val="7"/>
            </w:pPr>
            <w:r>
              <w:t>≥0.3万人次</w:t>
            </w:r>
          </w:p>
        </w:tc>
      </w:tr>
      <w:tr w14:paraId="640E75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0C3A1D"/>
        </w:tc>
        <w:tc>
          <w:tcPr>
            <w:tcW w:w="1276" w:type="dxa"/>
            <w:vAlign w:val="center"/>
          </w:tcPr>
          <w:p w14:paraId="75221A9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C3A29FE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050DCD40">
            <w:pPr>
              <w:pStyle w:val="7"/>
            </w:pPr>
            <w:r>
              <w:t>居民电子档案覆盖率</w:t>
            </w:r>
          </w:p>
        </w:tc>
        <w:tc>
          <w:tcPr>
            <w:tcW w:w="2551" w:type="dxa"/>
            <w:vAlign w:val="center"/>
          </w:tcPr>
          <w:p w14:paraId="74597DC2">
            <w:pPr>
              <w:pStyle w:val="7"/>
            </w:pPr>
            <w:r>
              <w:t>≥90%</w:t>
            </w:r>
          </w:p>
        </w:tc>
      </w:tr>
      <w:tr w14:paraId="40F5E0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5B4F0C8"/>
        </w:tc>
        <w:tc>
          <w:tcPr>
            <w:tcW w:w="1276" w:type="dxa"/>
            <w:vAlign w:val="center"/>
          </w:tcPr>
          <w:p w14:paraId="479B029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0432C6D">
            <w:pPr>
              <w:pStyle w:val="7"/>
            </w:pPr>
            <w:r>
              <w:t>65岁老年人规范管理率</w:t>
            </w:r>
          </w:p>
        </w:tc>
        <w:tc>
          <w:tcPr>
            <w:tcW w:w="3430" w:type="dxa"/>
            <w:vAlign w:val="center"/>
          </w:tcPr>
          <w:p w14:paraId="5E06EE2C">
            <w:pPr>
              <w:pStyle w:val="7"/>
            </w:pPr>
            <w:r>
              <w:t>65岁老年人规范管理率</w:t>
            </w:r>
          </w:p>
        </w:tc>
        <w:tc>
          <w:tcPr>
            <w:tcW w:w="2551" w:type="dxa"/>
            <w:vAlign w:val="center"/>
          </w:tcPr>
          <w:p w14:paraId="74EE7CBA">
            <w:pPr>
              <w:pStyle w:val="7"/>
            </w:pPr>
            <w:r>
              <w:t>≥80%</w:t>
            </w:r>
          </w:p>
        </w:tc>
      </w:tr>
      <w:tr w14:paraId="44D531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C9EBBE"/>
        </w:tc>
        <w:tc>
          <w:tcPr>
            <w:tcW w:w="1276" w:type="dxa"/>
            <w:vAlign w:val="center"/>
          </w:tcPr>
          <w:p w14:paraId="4AFC52E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6A8C74E">
            <w:pPr>
              <w:pStyle w:val="7"/>
            </w:pPr>
            <w:r>
              <w:t>高血压、2型糖尿病规范管理率</w:t>
            </w:r>
          </w:p>
        </w:tc>
        <w:tc>
          <w:tcPr>
            <w:tcW w:w="3430" w:type="dxa"/>
            <w:vAlign w:val="center"/>
          </w:tcPr>
          <w:p w14:paraId="1A84A34B">
            <w:pPr>
              <w:pStyle w:val="7"/>
            </w:pPr>
            <w:r>
              <w:t>高血压、2型糖尿病规范管理率</w:t>
            </w:r>
          </w:p>
        </w:tc>
        <w:tc>
          <w:tcPr>
            <w:tcW w:w="2551" w:type="dxa"/>
            <w:vAlign w:val="center"/>
          </w:tcPr>
          <w:p w14:paraId="6DEA8273">
            <w:pPr>
              <w:pStyle w:val="7"/>
            </w:pPr>
            <w:r>
              <w:t>≥80%</w:t>
            </w:r>
          </w:p>
        </w:tc>
      </w:tr>
      <w:tr w14:paraId="232C3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222B0F"/>
        </w:tc>
        <w:tc>
          <w:tcPr>
            <w:tcW w:w="1276" w:type="dxa"/>
            <w:vAlign w:val="center"/>
          </w:tcPr>
          <w:p w14:paraId="2BF6721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13CD1F4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3430" w:type="dxa"/>
            <w:vAlign w:val="center"/>
          </w:tcPr>
          <w:p w14:paraId="483A0031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2551" w:type="dxa"/>
            <w:vAlign w:val="center"/>
          </w:tcPr>
          <w:p w14:paraId="7DD754D5">
            <w:pPr>
              <w:pStyle w:val="7"/>
            </w:pPr>
            <w:r>
              <w:t>≥95%</w:t>
            </w:r>
          </w:p>
        </w:tc>
      </w:tr>
      <w:tr w14:paraId="5A59FB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1AD5160"/>
        </w:tc>
        <w:tc>
          <w:tcPr>
            <w:tcW w:w="1276" w:type="dxa"/>
            <w:vAlign w:val="center"/>
          </w:tcPr>
          <w:p w14:paraId="404B9BD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A5A10C7">
            <w:pPr>
              <w:pStyle w:val="7"/>
            </w:pPr>
            <w:r>
              <w:t>肺结核患者管理率</w:t>
            </w:r>
          </w:p>
        </w:tc>
        <w:tc>
          <w:tcPr>
            <w:tcW w:w="3430" w:type="dxa"/>
            <w:vAlign w:val="center"/>
          </w:tcPr>
          <w:p w14:paraId="178AEEAC">
            <w:pPr>
              <w:pStyle w:val="7"/>
            </w:pPr>
            <w:r>
              <w:t>肺结核患者管理率</w:t>
            </w:r>
          </w:p>
        </w:tc>
        <w:tc>
          <w:tcPr>
            <w:tcW w:w="2551" w:type="dxa"/>
            <w:vAlign w:val="center"/>
          </w:tcPr>
          <w:p w14:paraId="73D1CBB8">
            <w:pPr>
              <w:pStyle w:val="7"/>
            </w:pPr>
            <w:r>
              <w:t>100%</w:t>
            </w:r>
          </w:p>
        </w:tc>
      </w:tr>
      <w:tr w14:paraId="7D507D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D7DB2D7"/>
        </w:tc>
        <w:tc>
          <w:tcPr>
            <w:tcW w:w="1276" w:type="dxa"/>
            <w:vAlign w:val="center"/>
          </w:tcPr>
          <w:p w14:paraId="728907C6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066CC62">
            <w:pPr>
              <w:pStyle w:val="7"/>
            </w:pPr>
            <w:r>
              <w:t>传染病和突发公共卫生事件报告率</w:t>
            </w:r>
          </w:p>
        </w:tc>
        <w:tc>
          <w:tcPr>
            <w:tcW w:w="3430" w:type="dxa"/>
            <w:vAlign w:val="center"/>
          </w:tcPr>
          <w:p w14:paraId="5FECA1FF">
            <w:pPr>
              <w:pStyle w:val="7"/>
            </w:pPr>
            <w:r>
              <w:t>传染病和突发公共卫生事件报告率</w:t>
            </w:r>
          </w:p>
        </w:tc>
        <w:tc>
          <w:tcPr>
            <w:tcW w:w="2551" w:type="dxa"/>
            <w:vAlign w:val="center"/>
          </w:tcPr>
          <w:p w14:paraId="282E82B2">
            <w:pPr>
              <w:pStyle w:val="7"/>
            </w:pPr>
            <w:r>
              <w:t>100%</w:t>
            </w:r>
          </w:p>
        </w:tc>
      </w:tr>
      <w:tr w14:paraId="2F67C7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B86124"/>
        </w:tc>
        <w:tc>
          <w:tcPr>
            <w:tcW w:w="1276" w:type="dxa"/>
            <w:vAlign w:val="center"/>
          </w:tcPr>
          <w:p w14:paraId="0F6BF81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A4D4F5C">
            <w:pPr>
              <w:pStyle w:val="7"/>
            </w:pPr>
            <w:r>
              <w:t>妇保儿保按计划完成率</w:t>
            </w:r>
          </w:p>
        </w:tc>
        <w:tc>
          <w:tcPr>
            <w:tcW w:w="3430" w:type="dxa"/>
            <w:vAlign w:val="center"/>
          </w:tcPr>
          <w:p w14:paraId="1B38C366">
            <w:pPr>
              <w:pStyle w:val="7"/>
            </w:pPr>
            <w:r>
              <w:t>妇保儿保按计划完成率</w:t>
            </w:r>
          </w:p>
        </w:tc>
        <w:tc>
          <w:tcPr>
            <w:tcW w:w="2551" w:type="dxa"/>
            <w:vAlign w:val="center"/>
          </w:tcPr>
          <w:p w14:paraId="2843F393">
            <w:pPr>
              <w:pStyle w:val="7"/>
            </w:pPr>
            <w:r>
              <w:t>100%</w:t>
            </w:r>
          </w:p>
        </w:tc>
      </w:tr>
      <w:tr w14:paraId="749959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EC38538"/>
        </w:tc>
        <w:tc>
          <w:tcPr>
            <w:tcW w:w="1276" w:type="dxa"/>
            <w:vAlign w:val="center"/>
          </w:tcPr>
          <w:p w14:paraId="5B842802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3012E99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3430" w:type="dxa"/>
            <w:vAlign w:val="center"/>
          </w:tcPr>
          <w:p w14:paraId="0A590A7A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2551" w:type="dxa"/>
            <w:vAlign w:val="center"/>
          </w:tcPr>
          <w:p w14:paraId="4AA125C4">
            <w:pPr>
              <w:pStyle w:val="7"/>
            </w:pPr>
            <w:r>
              <w:t>2025.12.31日前</w:t>
            </w:r>
          </w:p>
        </w:tc>
      </w:tr>
      <w:tr w14:paraId="6B9120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CDA9D79"/>
        </w:tc>
        <w:tc>
          <w:tcPr>
            <w:tcW w:w="1276" w:type="dxa"/>
            <w:vAlign w:val="center"/>
          </w:tcPr>
          <w:p w14:paraId="77D3ED3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ACA0860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37B65B77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0587CAA1">
            <w:pPr>
              <w:pStyle w:val="7"/>
            </w:pPr>
            <w:r>
              <w:t>&lt;109元/人</w:t>
            </w:r>
          </w:p>
        </w:tc>
      </w:tr>
      <w:tr w14:paraId="5967B5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878F97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AB1A4BE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234DF1B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3430" w:type="dxa"/>
            <w:vAlign w:val="center"/>
          </w:tcPr>
          <w:p w14:paraId="6D173930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2551" w:type="dxa"/>
            <w:vAlign w:val="center"/>
          </w:tcPr>
          <w:p w14:paraId="47E03E13">
            <w:pPr>
              <w:pStyle w:val="7"/>
            </w:pPr>
            <w:r>
              <w:t>有效提升</w:t>
            </w:r>
          </w:p>
        </w:tc>
      </w:tr>
      <w:tr w14:paraId="0B6AEE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A0CCEC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E10B57A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75EA554">
            <w:pPr>
              <w:pStyle w:val="7"/>
            </w:pPr>
            <w:r>
              <w:t>提高老年人高血压、糖尿病等慢病的控制率、提高危险因素的控制，减少并发症</w:t>
            </w:r>
          </w:p>
        </w:tc>
        <w:tc>
          <w:tcPr>
            <w:tcW w:w="3430" w:type="dxa"/>
            <w:vAlign w:val="center"/>
          </w:tcPr>
          <w:p w14:paraId="49F2A90B">
            <w:pPr>
              <w:pStyle w:val="7"/>
            </w:pPr>
            <w:r>
              <w:t>提高老年人高血压、糖尿病等慢病的控制率、提高危险因素的控制，减少并发症</w:t>
            </w:r>
          </w:p>
        </w:tc>
        <w:tc>
          <w:tcPr>
            <w:tcW w:w="2551" w:type="dxa"/>
            <w:vAlign w:val="center"/>
          </w:tcPr>
          <w:p w14:paraId="0E35BC12">
            <w:pPr>
              <w:pStyle w:val="7"/>
            </w:pPr>
            <w:r>
              <w:t>效果较显著</w:t>
            </w:r>
          </w:p>
        </w:tc>
      </w:tr>
      <w:tr w14:paraId="08CAEF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9246083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79ACB4D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40FAC490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058320B1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06C8275C">
            <w:pPr>
              <w:pStyle w:val="7"/>
            </w:pPr>
            <w:r>
              <w:t>持续有效</w:t>
            </w:r>
          </w:p>
        </w:tc>
      </w:tr>
      <w:tr w14:paraId="2706E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636D6A1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1D239C1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3B9DD32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0654F778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15B72EEC">
            <w:pPr>
              <w:pStyle w:val="7"/>
            </w:pPr>
            <w:r>
              <w:t>≥80%</w:t>
            </w:r>
          </w:p>
        </w:tc>
      </w:tr>
    </w:tbl>
    <w:p w14:paraId="2BD7DBF8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603BC0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7CBCEDA-26D4-4F3C-ABC5-2997714F5BC2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33876746-6774-4228-A393-EBDCB99C30D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06AB9F1-3436-4F0D-B221-60DF1F01B27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663FB"/>
    <w:rsid w:val="7146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2025-02-06T05:39:00Z</dcterms:created>
  <dc:creator>S.mile</dc:creator>
  <cp:lastModifiedBy>S.mile</cp:lastModifiedBy>
  <dcterms:modified xsi:type="dcterms:W3CDTF">2025-02-06T05:40:03Z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9DADCC26D1EA4C29815A7769D5855C45_11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