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3A356">
      <w:pPr>
        <w:autoSpaceDE w:val="0"/>
        <w:autoSpaceDN w:val="0"/>
        <w:adjustRightInd w:val="0"/>
        <w:jc w:val="center"/>
        <w:rPr>
          <w:rFonts w:ascii="Times New Roman" w:hAnsi="Times New Roman" w:eastAsia="方正小标宋简体" w:cs="方正小标宋简体"/>
          <w:kern w:val="0"/>
          <w:sz w:val="48"/>
          <w:szCs w:val="48"/>
          <w:lang w:val="zh-CN"/>
        </w:rPr>
      </w:pPr>
    </w:p>
    <w:p w14:paraId="1EFC4E6D">
      <w:pPr>
        <w:autoSpaceDE w:val="0"/>
        <w:autoSpaceDN w:val="0"/>
        <w:adjustRightInd w:val="0"/>
        <w:jc w:val="center"/>
        <w:rPr>
          <w:rFonts w:ascii="Times New Roman" w:hAnsi="Times New Roman" w:eastAsia="方正小标宋简体" w:cs="方正小标宋简体"/>
          <w:kern w:val="0"/>
          <w:sz w:val="48"/>
          <w:szCs w:val="48"/>
          <w:lang w:val="zh-CN"/>
        </w:rPr>
      </w:pPr>
    </w:p>
    <w:p w14:paraId="6ED16452">
      <w:pPr>
        <w:autoSpaceDE w:val="0"/>
        <w:autoSpaceDN w:val="0"/>
        <w:adjustRightInd w:val="0"/>
        <w:jc w:val="center"/>
        <w:rPr>
          <w:rFonts w:ascii="Times New Roman" w:hAnsi="Times New Roman" w:eastAsia="方正小标宋简体" w:cs="方正小标宋简体"/>
          <w:kern w:val="0"/>
          <w:sz w:val="48"/>
          <w:szCs w:val="48"/>
          <w:lang w:val="zh-CN"/>
        </w:rPr>
      </w:pPr>
    </w:p>
    <w:p w14:paraId="1CAD09DA">
      <w:pPr>
        <w:autoSpaceDE w:val="0"/>
        <w:autoSpaceDN w:val="0"/>
        <w:adjustRightInd w:val="0"/>
        <w:jc w:val="center"/>
        <w:rPr>
          <w:rFonts w:ascii="Times New Roman" w:hAnsi="Times New Roman" w:eastAsia="方正小标宋简体" w:cs="方正小标宋简体"/>
          <w:kern w:val="0"/>
          <w:sz w:val="48"/>
          <w:szCs w:val="48"/>
          <w:lang w:val="zh-CN"/>
        </w:rPr>
      </w:pPr>
    </w:p>
    <w:p w14:paraId="50FC37E8">
      <w:pPr>
        <w:autoSpaceDE w:val="0"/>
        <w:autoSpaceDN w:val="0"/>
        <w:adjustRightInd w:val="0"/>
        <w:jc w:val="center"/>
        <w:rPr>
          <w:rFonts w:ascii="Times New Roman" w:hAnsi="Times New Roman" w:eastAsia="方正小标宋简体" w:cs="方正小标宋简体"/>
          <w:kern w:val="0"/>
          <w:sz w:val="48"/>
          <w:szCs w:val="48"/>
          <w:lang w:val="zh-CN"/>
        </w:rPr>
      </w:pPr>
    </w:p>
    <w:p w14:paraId="42DC4E73">
      <w:pPr>
        <w:autoSpaceDE w:val="0"/>
        <w:autoSpaceDN w:val="0"/>
        <w:adjustRightInd w:val="0"/>
        <w:jc w:val="center"/>
        <w:rPr>
          <w:rFonts w:ascii="Times New Roman" w:hAnsi="Times New Roman" w:eastAsia="方正小标宋简体" w:cs="方正小标宋简体"/>
          <w:kern w:val="0"/>
          <w:sz w:val="48"/>
          <w:szCs w:val="48"/>
          <w:lang w:val="zh-CN"/>
        </w:rPr>
      </w:pPr>
    </w:p>
    <w:p w14:paraId="45B355F3">
      <w:pPr>
        <w:autoSpaceDE w:val="0"/>
        <w:autoSpaceDN w:val="0"/>
        <w:adjustRightInd w:val="0"/>
        <w:jc w:val="center"/>
        <w:rPr>
          <w:rFonts w:ascii="Times New Roman" w:hAnsi="Times New Roman" w:eastAsia="方正小标宋简体" w:cs="方正小标宋简体"/>
          <w:kern w:val="0"/>
          <w:sz w:val="48"/>
          <w:szCs w:val="48"/>
          <w:lang w:val="zh-CN"/>
        </w:rPr>
      </w:pPr>
    </w:p>
    <w:p w14:paraId="769C4A54">
      <w:pPr>
        <w:autoSpaceDE w:val="0"/>
        <w:autoSpaceDN w:val="0"/>
        <w:adjustRightInd w:val="0"/>
        <w:jc w:val="center"/>
        <w:rPr>
          <w:rFonts w:ascii="Times New Roman" w:hAnsi="Times New Roman" w:eastAsia="方正小标宋简体" w:cs="方正小标宋简体"/>
          <w:kern w:val="0"/>
          <w:sz w:val="48"/>
          <w:szCs w:val="48"/>
          <w:lang w:val="zh-CN"/>
        </w:rPr>
      </w:pPr>
    </w:p>
    <w:p w14:paraId="765C0F88">
      <w:pPr>
        <w:autoSpaceDE w:val="0"/>
        <w:autoSpaceDN w:val="0"/>
        <w:adjustRightInd w:val="0"/>
        <w:jc w:val="center"/>
        <w:rPr>
          <w:rFonts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天津市滨海新区汉沽街社区卫生服务中心2023年度部门决算</w:t>
      </w:r>
    </w:p>
    <w:p w14:paraId="7BED172B">
      <w:pPr>
        <w:autoSpaceDE w:val="0"/>
        <w:autoSpaceDN w:val="0"/>
        <w:adjustRightInd w:val="0"/>
        <w:spacing w:line="580" w:lineRule="exact"/>
        <w:jc w:val="center"/>
        <w:rPr>
          <w:rFonts w:ascii="Times New Roman" w:hAnsi="Times New Roman" w:eastAsia="黑体" w:cs="黑体"/>
          <w:sz w:val="30"/>
          <w:szCs w:val="30"/>
        </w:rPr>
      </w:pPr>
    </w:p>
    <w:p w14:paraId="55C6E391">
      <w:pPr>
        <w:autoSpaceDE w:val="0"/>
        <w:autoSpaceDN w:val="0"/>
        <w:adjustRightInd w:val="0"/>
        <w:spacing w:line="580" w:lineRule="exact"/>
        <w:jc w:val="center"/>
        <w:rPr>
          <w:rFonts w:ascii="Times New Roman" w:hAnsi="Times New Roman" w:eastAsia="黑体" w:cs="黑体"/>
          <w:sz w:val="30"/>
          <w:szCs w:val="30"/>
        </w:rPr>
      </w:pPr>
    </w:p>
    <w:p w14:paraId="4193F96A">
      <w:pPr>
        <w:autoSpaceDE w:val="0"/>
        <w:autoSpaceDN w:val="0"/>
        <w:adjustRightInd w:val="0"/>
        <w:spacing w:line="580" w:lineRule="exact"/>
        <w:jc w:val="center"/>
        <w:rPr>
          <w:rFonts w:ascii="Times New Roman" w:hAnsi="Times New Roman" w:eastAsia="黑体" w:cs="黑体"/>
          <w:sz w:val="30"/>
          <w:szCs w:val="30"/>
        </w:rPr>
      </w:pPr>
    </w:p>
    <w:p w14:paraId="3E40284A">
      <w:pPr>
        <w:autoSpaceDE w:val="0"/>
        <w:autoSpaceDN w:val="0"/>
        <w:adjustRightInd w:val="0"/>
        <w:spacing w:line="580" w:lineRule="exact"/>
        <w:jc w:val="center"/>
        <w:rPr>
          <w:rFonts w:ascii="Times New Roman" w:hAnsi="Times New Roman" w:eastAsia="黑体" w:cs="黑体"/>
          <w:sz w:val="30"/>
          <w:szCs w:val="30"/>
        </w:rPr>
      </w:pPr>
    </w:p>
    <w:p w14:paraId="097A3931">
      <w:pPr>
        <w:autoSpaceDE w:val="0"/>
        <w:autoSpaceDN w:val="0"/>
        <w:adjustRightInd w:val="0"/>
        <w:spacing w:line="580" w:lineRule="exact"/>
        <w:jc w:val="center"/>
        <w:rPr>
          <w:rFonts w:ascii="Times New Roman" w:hAnsi="Times New Roman" w:eastAsia="黑体" w:cs="黑体"/>
          <w:sz w:val="30"/>
          <w:szCs w:val="30"/>
        </w:rPr>
      </w:pPr>
    </w:p>
    <w:p w14:paraId="4D1A7D63">
      <w:pPr>
        <w:autoSpaceDE w:val="0"/>
        <w:autoSpaceDN w:val="0"/>
        <w:adjustRightInd w:val="0"/>
        <w:spacing w:line="600" w:lineRule="exact"/>
        <w:jc w:val="center"/>
        <w:rPr>
          <w:rFonts w:ascii="Times New Roman" w:hAnsi="Times New Roman" w:eastAsia="黑体" w:cs="黑体"/>
          <w:kern w:val="0"/>
          <w:sz w:val="44"/>
          <w:szCs w:val="44"/>
        </w:rPr>
      </w:pPr>
      <w:r>
        <w:rPr>
          <w:rFonts w:ascii="Times New Roman" w:hAnsi="Times New Roman" w:eastAsia="黑体" w:cs="黑体"/>
          <w:sz w:val="30"/>
          <w:szCs w:val="30"/>
        </w:rPr>
        <w:br w:type="page"/>
      </w:r>
    </w:p>
    <w:p w14:paraId="6AB9157F">
      <w:pPr>
        <w:autoSpaceDE w:val="0"/>
        <w:autoSpaceDN w:val="0"/>
        <w:adjustRightInd w:val="0"/>
        <w:spacing w:line="600" w:lineRule="exact"/>
        <w:jc w:val="center"/>
        <w:rPr>
          <w:rFonts w:ascii="Times New Roman" w:hAnsi="Times New Roman" w:eastAsia="黑体" w:cs="黑体"/>
          <w:kern w:val="0"/>
          <w:sz w:val="44"/>
          <w:szCs w:val="44"/>
        </w:rPr>
      </w:pPr>
      <w:r>
        <w:rPr>
          <w:rFonts w:hint="eastAsia" w:ascii="Times New Roman" w:hAnsi="Times New Roman" w:eastAsia="黑体" w:cs="黑体"/>
          <w:kern w:val="0"/>
          <w:sz w:val="44"/>
          <w:szCs w:val="44"/>
        </w:rPr>
        <w:t>目录</w:t>
      </w:r>
    </w:p>
    <w:p w14:paraId="63BAC0F7">
      <w:pPr>
        <w:autoSpaceDE w:val="0"/>
        <w:autoSpaceDN w:val="0"/>
        <w:adjustRightInd w:val="0"/>
        <w:spacing w:line="600" w:lineRule="exact"/>
        <w:jc w:val="left"/>
        <w:rPr>
          <w:rFonts w:ascii="Times New Roman" w:hAnsi="Times New Roman" w:eastAsia="黑体" w:cs="黑体"/>
          <w:kern w:val="0"/>
          <w:sz w:val="30"/>
          <w:szCs w:val="30"/>
        </w:rPr>
      </w:pPr>
    </w:p>
    <w:p w14:paraId="3A99BA38">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第一部分概况</w:t>
      </w:r>
    </w:p>
    <w:p w14:paraId="7A1B097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一、主要职责</w:t>
      </w:r>
    </w:p>
    <w:p w14:paraId="58C19BF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二、机构设置</w:t>
      </w:r>
    </w:p>
    <w:p w14:paraId="51C27EA7">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第二部分2023年度部门决算表</w:t>
      </w:r>
    </w:p>
    <w:p w14:paraId="635ABE9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一、收入支出决算总表</w:t>
      </w:r>
    </w:p>
    <w:p w14:paraId="23C7761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二、收入决算表（按功能分类列示）</w:t>
      </w:r>
    </w:p>
    <w:p w14:paraId="7B61679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三、收入决算表（按单位列示）</w:t>
      </w:r>
    </w:p>
    <w:p w14:paraId="1745DFB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四、支出决算表</w:t>
      </w:r>
    </w:p>
    <w:p w14:paraId="2E49C72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五、财政拨款收入支出决算总表</w:t>
      </w:r>
    </w:p>
    <w:p w14:paraId="716D116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六、一般公共预算财政拨款支出决算表</w:t>
      </w:r>
    </w:p>
    <w:p w14:paraId="0B39F75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七、一般公共预算财政拨款基本支出决算表</w:t>
      </w:r>
    </w:p>
    <w:p w14:paraId="76D04DF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八、政府性基金预算财政拨款收入支出决算表</w:t>
      </w:r>
    </w:p>
    <w:p w14:paraId="3FE3841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九、国有资本经营预算财政拨款收入支出决算表</w:t>
      </w:r>
    </w:p>
    <w:p w14:paraId="5D280F7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经费支出决算表</w:t>
      </w:r>
    </w:p>
    <w:p w14:paraId="2348663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十一、项目支出决算表</w:t>
      </w:r>
    </w:p>
    <w:p w14:paraId="798A40B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十二、关于空表的说明</w:t>
      </w:r>
    </w:p>
    <w:p w14:paraId="51497AAE">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第三部分2023年度部门决算情况说明</w:t>
      </w:r>
    </w:p>
    <w:p w14:paraId="1C126BA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一、收支决算总体情况说明</w:t>
      </w:r>
    </w:p>
    <w:p w14:paraId="5F7F73D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二、收入决算情况说明</w:t>
      </w:r>
    </w:p>
    <w:p w14:paraId="1B14BA3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三、支出决算情况说明</w:t>
      </w:r>
    </w:p>
    <w:p w14:paraId="386850A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四、财政拨款收支决算总体情况说明</w:t>
      </w:r>
    </w:p>
    <w:p w14:paraId="0AD1462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五、一般公共预算财政拨款支出决算情况说明</w:t>
      </w:r>
    </w:p>
    <w:p w14:paraId="5687087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六、一般公共预算财政拨款基本支出决算情况说明</w:t>
      </w:r>
    </w:p>
    <w:p w14:paraId="70F3B13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七、政府性基金预算财政拨款收支决算情况说明</w:t>
      </w:r>
    </w:p>
    <w:p w14:paraId="5863619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八、国有资本经营预算财政拨款收支决算情况说明</w:t>
      </w:r>
    </w:p>
    <w:p w14:paraId="101146C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经费支出决算情况说明</w:t>
      </w:r>
    </w:p>
    <w:p w14:paraId="5802298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十、机关运行经费支出情况说明</w:t>
      </w:r>
    </w:p>
    <w:p w14:paraId="6C47D87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十一、政府采购支出情况说明</w:t>
      </w:r>
    </w:p>
    <w:p w14:paraId="1B61E27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十二、国有资产占有使用情况说明</w:t>
      </w:r>
    </w:p>
    <w:p w14:paraId="1DA18C9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十三、预算绩效情况说明</w:t>
      </w:r>
    </w:p>
    <w:p w14:paraId="6274F1C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十四、教育、医疗卫生、社会保障和就业、住房保障、涉农补贴等民生支出情况说明</w:t>
      </w:r>
    </w:p>
    <w:p w14:paraId="3564EE5F">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第四部分名词解释</w:t>
      </w:r>
    </w:p>
    <w:p w14:paraId="158AE307">
      <w:pPr>
        <w:autoSpaceDE w:val="0"/>
        <w:autoSpaceDN w:val="0"/>
        <w:adjustRightInd w:val="0"/>
        <w:spacing w:line="700" w:lineRule="exact"/>
        <w:jc w:val="left"/>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5F5785B7">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第一部分概况</w:t>
      </w:r>
    </w:p>
    <w:p w14:paraId="5E897A7E">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一、主要职责</w:t>
      </w:r>
    </w:p>
    <w:p w14:paraId="285B59AC">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汉沽街社区卫生服务中心作为天津市滨海新区卫生健康委员会所属的基层医疗卫生服务机构，积极贯彻落实党中央关于卫生健康工作的方针政策，保质保量完成工作任务，认真履行岗位职责，为人民群众做好社区公共卫生服务工作。</w:t>
      </w:r>
    </w:p>
    <w:p w14:paraId="3ECF6399">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二、机构设置</w:t>
      </w:r>
    </w:p>
    <w:p w14:paraId="4181CB84">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天津市滨海新区汉沽街社区卫生服务中心内设11个职能科室；下辖0个预算单位。纳入天津市滨海新区汉沽街社区卫生服务中心2023年度部门决算编制范围的单位包括：</w:t>
      </w:r>
    </w:p>
    <w:p w14:paraId="66FBED08">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天津市滨海新区汉沽街社区卫生服务中心。</w:t>
      </w:r>
    </w:p>
    <w:p w14:paraId="647DAD0C">
      <w:pPr>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6F276FA2">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第二部分2023年度部门决算表</w:t>
      </w:r>
    </w:p>
    <w:p w14:paraId="4AFED7E0">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59F9E713">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一、《收入支出决算总表》</w:t>
      </w:r>
    </w:p>
    <w:p w14:paraId="3E8BA69A">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二、《收入决算表（按功能分类列示）》</w:t>
      </w:r>
    </w:p>
    <w:p w14:paraId="44021E57">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三、《收入决算表（按单位列示）》</w:t>
      </w:r>
    </w:p>
    <w:p w14:paraId="634D3CA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四、《支出决算表》</w:t>
      </w:r>
    </w:p>
    <w:p w14:paraId="404DF781">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五、《财政拨款收入支出决算总表》</w:t>
      </w:r>
    </w:p>
    <w:p w14:paraId="132151D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六、《一般公共预算财政拨款支出决算表》</w:t>
      </w:r>
    </w:p>
    <w:p w14:paraId="2D08FD9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七、《一般公共预算财政拨款基本支出决算表》</w:t>
      </w:r>
    </w:p>
    <w:p w14:paraId="6BFE2DB9">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八、《政府性基金预算财政拨款收入支出决算表》</w:t>
      </w:r>
    </w:p>
    <w:p w14:paraId="1EC0947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九、《国有资本经营预算财政拨款收入支出决算表》</w:t>
      </w:r>
    </w:p>
    <w:p w14:paraId="28A4703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十、《财政拨款</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三公</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经费支出决算表》</w:t>
      </w:r>
    </w:p>
    <w:p w14:paraId="4D3428AF">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十一、《项目支出决算表》</w:t>
      </w:r>
    </w:p>
    <w:p w14:paraId="38D2B89A">
      <w:pPr>
        <w:autoSpaceDE w:val="0"/>
        <w:autoSpaceDN w:val="0"/>
        <w:adjustRightInd w:val="0"/>
        <w:spacing w:line="800" w:lineRule="exact"/>
        <w:jc w:val="left"/>
        <w:rPr>
          <w:rFonts w:ascii="Times New Roman" w:hAnsi="Times New Roman" w:eastAsia="楷体" w:cs="楷体"/>
          <w:kern w:val="0"/>
          <w:sz w:val="30"/>
          <w:szCs w:val="30"/>
        </w:rPr>
      </w:pPr>
      <w:r>
        <w:rPr>
          <w:rFonts w:hint="eastAsia" w:ascii="Times New Roman" w:hAnsi="Times New Roman" w:eastAsia="楷体" w:cs="楷体"/>
          <w:kern w:val="0"/>
          <w:sz w:val="30"/>
          <w:szCs w:val="30"/>
        </w:rPr>
        <w:t>注：以上决算公开表均作为附表，附于决算公开说明文档后。</w:t>
      </w:r>
    </w:p>
    <w:p w14:paraId="4175B8DA">
      <w:pPr>
        <w:autoSpaceDE w:val="0"/>
        <w:autoSpaceDN w:val="0"/>
        <w:adjustRightInd w:val="0"/>
        <w:spacing w:line="600" w:lineRule="exact"/>
        <w:jc w:val="left"/>
        <w:rPr>
          <w:rFonts w:ascii="Times New Roman" w:hAnsi="Times New Roman" w:eastAsia="黑体" w:cs="黑体"/>
          <w:b/>
          <w:bCs/>
          <w:kern w:val="0"/>
          <w:sz w:val="30"/>
          <w:szCs w:val="30"/>
        </w:rPr>
      </w:pPr>
      <w:r>
        <w:rPr>
          <w:rFonts w:ascii="Times New Roman" w:hAnsi="Times New Roman" w:eastAsia="楷体" w:cs="Times New Roman"/>
          <w:kern w:val="0"/>
          <w:sz w:val="24"/>
          <w:szCs w:val="24"/>
        </w:rPr>
        <w:br w:type="page"/>
      </w:r>
      <w:r>
        <w:rPr>
          <w:rFonts w:hint="eastAsia" w:ascii="Times New Roman" w:hAnsi="Times New Roman" w:eastAsia="黑体" w:cs="黑体"/>
          <w:b/>
          <w:bCs/>
          <w:kern w:val="0"/>
          <w:sz w:val="30"/>
          <w:szCs w:val="30"/>
        </w:rPr>
        <w:t>十二、关于空表的说明</w:t>
      </w:r>
    </w:p>
    <w:p w14:paraId="4EA79BDE">
      <w:pPr>
        <w:autoSpaceDE w:val="0"/>
        <w:autoSpaceDN w:val="0"/>
        <w:adjustRightInd w:val="0"/>
        <w:spacing w:line="600" w:lineRule="exact"/>
        <w:ind w:firstLine="601"/>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1.天津市滨海新区汉沽街社区卫生服务中心2022年度政府性基金预算财政拨款收入支出决算表为空表。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2.天津市滨海新区汉沽街社区卫生服务中心2022年度国有资本经营预算财政拨款收入支出决算表为空表。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3.天津市滨海新区汉沽街社区卫生服务中心2022年度一般公共预算财政拨款“三公”经费支出决算表为空表。</w:t>
      </w:r>
    </w:p>
    <w:p w14:paraId="06D4DFD1">
      <w:pPr>
        <w:autoSpaceDE w:val="0"/>
        <w:autoSpaceDN w:val="0"/>
        <w:adjustRightInd w:val="0"/>
        <w:spacing w:line="600" w:lineRule="exact"/>
        <w:ind w:firstLine="601"/>
        <w:jc w:val="left"/>
        <w:rPr>
          <w:rFonts w:ascii="Times New Roman" w:hAnsi="Times New Roman" w:eastAsia="仿宋_GB2312" w:cs="仿宋_GB2312"/>
          <w:sz w:val="30"/>
          <w:szCs w:val="30"/>
        </w:rPr>
      </w:pPr>
    </w:p>
    <w:p w14:paraId="334DAE65">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第三部分2023年度部门决算情况说明</w:t>
      </w:r>
    </w:p>
    <w:p w14:paraId="557A3FB9">
      <w:pPr>
        <w:autoSpaceDE w:val="0"/>
        <w:autoSpaceDN w:val="0"/>
        <w:adjustRightInd w:val="0"/>
        <w:spacing w:line="580" w:lineRule="exact"/>
        <w:ind w:firstLine="600"/>
        <w:jc w:val="left"/>
        <w:rPr>
          <w:rFonts w:ascii="Times New Roman" w:hAnsi="Times New Roman" w:eastAsia="黑体" w:cs="黑体"/>
          <w:sz w:val="30"/>
          <w:szCs w:val="30"/>
          <w:lang w:val="zh-CN"/>
        </w:rPr>
      </w:pPr>
    </w:p>
    <w:p w14:paraId="5F39505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一、收入支出决算总体情况说明</w:t>
      </w:r>
    </w:p>
    <w:p w14:paraId="54711548">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lang w:val="zh-CN"/>
        </w:rPr>
        <w:t>天津市滨海新区汉沽街社区卫生服务中心2023年度收入、支出决算总计</w:t>
      </w:r>
      <w:r>
        <w:rPr>
          <w:rFonts w:hint="eastAsia" w:ascii="Times New Roman" w:hAnsi="Times New Roman" w:eastAsia="仿宋_GB2312" w:cs="仿宋_GB2312"/>
          <w:sz w:val="30"/>
          <w:szCs w:val="30"/>
        </w:rPr>
        <w:t>74,151,835.95元，与2022年度相比，收、支总计各增加15,776,235.83元，增长27.03%，</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：随着医疗项目陆续展开，全年诊疗人次提升，医疗收支增加。</w:t>
      </w:r>
    </w:p>
    <w:p w14:paraId="045E345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二、</w:t>
      </w:r>
      <w:r>
        <w:rPr>
          <w:rFonts w:hint="eastAsia" w:ascii="Times New Roman" w:hAnsi="Times New Roman" w:eastAsia="黑体" w:cs="黑体"/>
          <w:b/>
          <w:bCs/>
          <w:kern w:val="0"/>
          <w:sz w:val="30"/>
          <w:szCs w:val="30"/>
        </w:rPr>
        <w:t>收入决算情况</w:t>
      </w:r>
      <w:r>
        <w:rPr>
          <w:rFonts w:hint="eastAsia" w:ascii="Times New Roman" w:hAnsi="Times New Roman" w:eastAsia="黑体" w:cs="黑体"/>
          <w:b/>
          <w:bCs/>
          <w:kern w:val="0"/>
          <w:sz w:val="30"/>
          <w:szCs w:val="30"/>
          <w:lang w:val="zh-CN"/>
        </w:rPr>
        <w:t>说明</w:t>
      </w:r>
    </w:p>
    <w:p w14:paraId="05D55C66">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天津市滨海新区汉沽街社区卫生服务中心</w:t>
      </w:r>
      <w:r>
        <w:rPr>
          <w:rFonts w:hint="eastAsia" w:ascii="Times New Roman" w:hAnsi="Times New Roman" w:eastAsia="仿宋_GB2312" w:cs="Times New Roman"/>
          <w:sz w:val="30"/>
          <w:szCs w:val="30"/>
        </w:rPr>
        <w:t>2023</w:t>
      </w:r>
      <w:r>
        <w:rPr>
          <w:rFonts w:hint="eastAsia" w:ascii="Times New Roman" w:hAnsi="Times New Roman" w:eastAsia="仿宋_GB2312" w:cs="仿宋_GB2312"/>
          <w:sz w:val="30"/>
          <w:szCs w:val="30"/>
          <w:lang w:val="zh-CN"/>
        </w:rPr>
        <w:t>年度本年收入合计</w:t>
      </w:r>
      <w:r>
        <w:rPr>
          <w:rFonts w:hint="eastAsia" w:ascii="Times New Roman" w:hAnsi="Times New Roman" w:eastAsia="仿宋_GB2312" w:cs="Times New Roman"/>
          <w:sz w:val="30"/>
          <w:szCs w:val="30"/>
        </w:rPr>
        <w:t>70,889,026.75</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年度相比增加12,513,426.63元，</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：随着医疗项目陆续展开，全年诊疗人次提升，医疗收入增加。</w:t>
      </w:r>
    </w:p>
    <w:p w14:paraId="75345416">
      <w:pPr>
        <w:autoSpaceDE w:val="0"/>
        <w:autoSpaceDN w:val="0"/>
        <w:adjustRightInd w:val="0"/>
        <w:spacing w:line="600" w:lineRule="exact"/>
        <w:ind w:firstLine="600"/>
        <w:jc w:val="left"/>
        <w:rPr>
          <w:rFonts w:ascii="Times New Roman" w:hAnsi="Times New Roman" w:eastAsia="宋体" w:cs="Times New Roman"/>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lang w:val="zh-CN"/>
        </w:rPr>
        <w:t>一般公共预算财政拨款收入</w:t>
      </w:r>
      <w:r>
        <w:rPr>
          <w:rFonts w:hint="eastAsia" w:ascii="Times New Roman" w:hAnsi="Times New Roman" w:eastAsia="仿宋_GB2312" w:cs="Times New Roman"/>
          <w:sz w:val="30"/>
          <w:szCs w:val="30"/>
        </w:rPr>
        <w:t>26,465,452.12</w:t>
      </w:r>
      <w:r>
        <w:rPr>
          <w:rFonts w:hint="eastAsia" w:ascii="Times New Roman" w:hAnsi="Times New Roman" w:eastAsia="仿宋_GB2312" w:cs="仿宋_GB2312"/>
          <w:sz w:val="30"/>
          <w:szCs w:val="30"/>
          <w:lang w:val="zh-CN"/>
        </w:rPr>
        <w:t>元</w:t>
      </w:r>
      <w:r>
        <w:rPr>
          <w:rFonts w:ascii="Times New Roman" w:hAnsi="Times New Roman" w:eastAsia="仿宋_GB2312" w:cs="仿宋_GB2312"/>
          <w:sz w:val="30"/>
          <w:szCs w:val="30"/>
          <w:lang w:val="zh-CN"/>
        </w:rPr>
        <w:t>，占</w:t>
      </w:r>
      <w:r>
        <w:rPr>
          <w:rFonts w:hint="eastAsia" w:ascii="Times New Roman" w:hAnsi="Times New Roman" w:eastAsia="仿宋_GB2312" w:cs="Times New Roman"/>
          <w:sz w:val="30"/>
          <w:szCs w:val="30"/>
        </w:rPr>
        <w:t>37.33</w:t>
      </w:r>
      <w:r>
        <w:rPr>
          <w:rFonts w:hint="eastAsia" w:ascii="Times New Roman" w:hAnsi="Times New Roman" w:eastAsia="宋体" w:cs="Times New Roman"/>
          <w:sz w:val="30"/>
          <w:szCs w:val="30"/>
        </w:rPr>
        <w:t>%；</w:t>
      </w:r>
    </w:p>
    <w:p w14:paraId="4D75F6F2">
      <w:pPr>
        <w:autoSpaceDE w:val="0"/>
        <w:autoSpaceDN w:val="0"/>
        <w:adjustRightInd w:val="0"/>
        <w:spacing w:line="600" w:lineRule="exact"/>
        <w:ind w:firstLine="600" w:firstLineChars="2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政府性基金预算财政拨款收入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30E37B67">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国有资本经营预算财政拨款收入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2A6DDE48">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财政专户管理资金收入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782F04E8">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事业收入</w:t>
      </w:r>
      <w:r>
        <w:rPr>
          <w:rFonts w:hint="eastAsia" w:ascii="Times New Roman" w:hAnsi="Times New Roman" w:eastAsia="仿宋_GB2312" w:cs="仿宋_GB2312"/>
          <w:sz w:val="30"/>
          <w:szCs w:val="30"/>
          <w:lang w:val="zh-CN"/>
        </w:rPr>
        <w:t>44,412,468.46元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62.65%；</w:t>
      </w:r>
    </w:p>
    <w:p w14:paraId="2F854B52">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事业单位经营收入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5D3FF366">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上级补助收入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5672F74F">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eastAsia="仿宋_GB2312"/>
          <w:sz w:val="30"/>
          <w:szCs w:val="30"/>
        </w:rPr>
        <w:t>附属单位上缴收入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4B873391">
      <w:pPr>
        <w:autoSpaceDE w:val="0"/>
        <w:autoSpaceDN w:val="0"/>
        <w:adjustRightInd w:val="0"/>
        <w:spacing w:line="60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lang w:val="zh-CN"/>
        </w:rPr>
        <w:t>其他收入</w:t>
      </w:r>
      <w:r>
        <w:rPr>
          <w:rFonts w:hint="eastAsia" w:ascii="Times New Roman" w:hAnsi="Times New Roman" w:eastAsia="仿宋_GB2312" w:cs="仿宋_GB2312"/>
          <w:sz w:val="30"/>
          <w:szCs w:val="30"/>
          <w:lang w:val="zh-CN"/>
        </w:rPr>
        <w:t>11,106.17元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0.02%。</w:t>
      </w:r>
    </w:p>
    <w:p w14:paraId="7459E037">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三、支出</w:t>
      </w:r>
      <w:r>
        <w:rPr>
          <w:rFonts w:hint="eastAsia" w:ascii="Times New Roman" w:hAnsi="Times New Roman" w:eastAsia="黑体" w:cs="黑体"/>
          <w:b/>
          <w:bCs/>
          <w:kern w:val="0"/>
          <w:sz w:val="30"/>
          <w:szCs w:val="30"/>
        </w:rPr>
        <w:t>决算情况说明</w:t>
      </w:r>
    </w:p>
    <w:p w14:paraId="4AB0C7D9">
      <w:pPr>
        <w:autoSpaceDE w:val="0"/>
        <w:autoSpaceDN w:val="0"/>
        <w:adjustRightInd w:val="0"/>
        <w:spacing w:line="58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天津市滨海新区汉沽街社区卫生服务中心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年度本年支出合计70,888,337.75元，与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年度相比增加12,524,914.93元，</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我中心医疗项目全面展开，增设口腔科、疼痛及呼吸门诊，增加国医堂诊疗服务项目，恢复检验、B超、放射等医技项目，全年诊疗人次增加，相应药品费及各项支出增加。</w:t>
      </w:r>
    </w:p>
    <w:p w14:paraId="00F2E974">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rPr>
        <w:t>基本支出</w:t>
      </w:r>
      <w:r>
        <w:rPr>
          <w:rFonts w:hint="eastAsia" w:ascii="Times New Roman" w:hAnsi="Times New Roman" w:eastAsia="仿宋_GB2312" w:cs="仿宋_GB2312"/>
          <w:sz w:val="30"/>
          <w:szCs w:val="30"/>
        </w:rPr>
        <w:t>64,364,393.15元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占90.8%；</w:t>
      </w:r>
    </w:p>
    <w:p w14:paraId="62FF3DB6">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项目支出</w:t>
      </w:r>
      <w:r>
        <w:rPr>
          <w:rFonts w:hint="eastAsia" w:ascii="Times New Roman" w:hAnsi="Times New Roman" w:eastAsia="仿宋_GB2312" w:cs="仿宋_GB2312"/>
          <w:sz w:val="30"/>
          <w:szCs w:val="30"/>
        </w:rPr>
        <w:t>6,523,944.60元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占9.2%；</w:t>
      </w:r>
    </w:p>
    <w:p w14:paraId="6294439B">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上缴上级支出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2099FB6F">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经营支出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359434ED">
      <w:pPr>
        <w:autoSpaceDE w:val="0"/>
        <w:autoSpaceDN w:val="0"/>
        <w:adjustRightInd w:val="0"/>
        <w:spacing w:line="580" w:lineRule="exact"/>
        <w:ind w:firstLine="600"/>
        <w:jc w:val="left"/>
        <w:rPr>
          <w:rFonts w:ascii="Times New Roman" w:hAnsi="Times New Roman" w:eastAsia="黑体" w:cs="黑体"/>
          <w:sz w:val="30"/>
          <w:szCs w:val="30"/>
          <w:lang w:val="zh-CN"/>
        </w:rPr>
      </w:pPr>
      <w:r>
        <w:rPr>
          <w:rFonts w:ascii="Times New Roman" w:hAnsi="Times New Roman" w:eastAsia="仿宋_GB2312" w:cs="仿宋_GB2312"/>
          <w:sz w:val="30"/>
          <w:szCs w:val="30"/>
        </w:rPr>
        <w:t>对附属单位补助支出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11EA24BA">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四、财政拨款收支决算总体情况说明</w:t>
      </w:r>
    </w:p>
    <w:p w14:paraId="75C1AC98">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天津市滨海新区汉沽街社区卫生服务中心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年度财政拨款收入、支出决算总计</w:t>
      </w:r>
      <w:r>
        <w:rPr>
          <w:rFonts w:hint="eastAsia" w:ascii="Times New Roman" w:hAnsi="Times New Roman" w:eastAsia="仿宋_GB2312" w:cs="Times New Roman"/>
          <w:sz w:val="30"/>
          <w:szCs w:val="30"/>
          <w:lang w:val="zh-CN"/>
        </w:rPr>
        <w:t>26,465,452.12</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年度相比，财政拨款收、支总计各减少1,097,320.64元，下降3.98</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2023年基本公共卫生经费拨款较去年有所减少。</w:t>
      </w:r>
    </w:p>
    <w:p w14:paraId="42A0C3D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五、一般公共预算财政拨款支出决算情况说明</w:t>
      </w:r>
    </w:p>
    <w:p w14:paraId="2586BE1B">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p>
    <w:p w14:paraId="4B83500D">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天津市滨海新区汉沽街社区卫生服务中心2023年度部门决算一般公共预算财政拨款支出</w:t>
      </w:r>
      <w:r>
        <w:rPr>
          <w:rFonts w:hint="eastAsia" w:ascii="Times New Roman" w:hAnsi="Times New Roman" w:eastAsia="仿宋_GB2312" w:cs="仿宋_GB2312"/>
          <w:sz w:val="30"/>
          <w:szCs w:val="30"/>
          <w:lang w:val="zh-CN"/>
        </w:rPr>
        <w:t>合</w:t>
      </w:r>
      <w:r>
        <w:rPr>
          <w:rFonts w:hint="eastAsia" w:ascii="Times New Roman" w:hAnsi="Times New Roman" w:eastAsia="仿宋_GB2312" w:cs="仿宋_GB2312"/>
          <w:sz w:val="30"/>
          <w:szCs w:val="30"/>
        </w:rPr>
        <w:t>计26,465,452.12元，占本年支出合计的37.33%，与2022年度相比，一般公共预算财政拨款支出减少1,097,320.64元，下降3.98%，</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：2023年基本公共卫生经费拨款较去年有所减少。</w:t>
      </w:r>
    </w:p>
    <w:p w14:paraId="468512A6">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w:t>
      </w:r>
      <w:r>
        <w:rPr>
          <w:rFonts w:hint="eastAsia" w:ascii="Times New Roman" w:hAnsi="Times New Roman" w:eastAsia="楷体" w:cs="楷体"/>
          <w:b/>
          <w:bCs/>
          <w:kern w:val="0"/>
          <w:sz w:val="30"/>
          <w:szCs w:val="30"/>
          <w:lang w:val="zh-CN"/>
        </w:rPr>
        <w:t>支出结构</w:t>
      </w:r>
      <w:r>
        <w:rPr>
          <w:rFonts w:hint="eastAsia" w:ascii="Times New Roman" w:hAnsi="Times New Roman" w:eastAsia="楷体" w:cs="楷体"/>
          <w:b/>
          <w:bCs/>
          <w:kern w:val="0"/>
          <w:sz w:val="30"/>
          <w:szCs w:val="30"/>
        </w:rPr>
        <w:t>情况</w:t>
      </w:r>
    </w:p>
    <w:p w14:paraId="32D45070">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2023年度一般公共预算财政拨款支出</w:t>
      </w:r>
      <w:r>
        <w:rPr>
          <w:rFonts w:hint="eastAsia" w:ascii="Times New Roman" w:hAnsi="Times New Roman" w:eastAsia="仿宋_GB2312" w:cs="Times New Roman"/>
          <w:sz w:val="30"/>
          <w:szCs w:val="30"/>
        </w:rPr>
        <w:t>26,465,452.12</w:t>
      </w:r>
      <w:r>
        <w:rPr>
          <w:rFonts w:hint="eastAsia" w:ascii="Times New Roman" w:hAnsi="Times New Roman" w:eastAsia="仿宋_GB2312" w:cs="仿宋_GB2312"/>
          <w:sz w:val="30"/>
          <w:szCs w:val="30"/>
        </w:rPr>
        <w:t>元，</w:t>
      </w:r>
      <w:r>
        <w:rPr>
          <w:rFonts w:hint="eastAsia" w:ascii="Times New Roman" w:hAnsi="Times New Roman" w:eastAsia="仿宋_GB2312" w:cs="仿宋_GB2312"/>
          <w:kern w:val="0"/>
          <w:sz w:val="30"/>
          <w:szCs w:val="30"/>
        </w:rPr>
        <w:t>主要用于以下方面：</w:t>
      </w:r>
      <w:r>
        <w:rPr>
          <w:rFonts w:hint="eastAsia" w:ascii="Times New Roman" w:hAnsi="Times New Roman" w:eastAsia="仿宋_GB2312" w:cs="仿宋_GB2312"/>
          <w:sz w:val="30"/>
          <w:szCs w:val="30"/>
        </w:rPr>
        <w:t>卫生健康支出26465452.12元，占100.00%。</w:t>
      </w:r>
    </w:p>
    <w:p w14:paraId="3441E2AD">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（三）具体情况</w:t>
      </w:r>
    </w:p>
    <w:p w14:paraId="2195B45C">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2023年度一般公共预算财政拨款支出年初预算为</w:t>
      </w:r>
      <w:r>
        <w:rPr>
          <w:rFonts w:hint="eastAsia" w:ascii="Times New Roman" w:hAnsi="Times New Roman" w:eastAsia="仿宋_GB2312" w:cs="Times New Roman"/>
          <w:sz w:val="30"/>
          <w:szCs w:val="30"/>
        </w:rPr>
        <w:t>21,300,100.00</w:t>
      </w:r>
      <w:r>
        <w:rPr>
          <w:rFonts w:hint="eastAsia" w:ascii="Times New Roman" w:hAnsi="Times New Roman" w:eastAsia="仿宋_GB2312" w:cs="仿宋_GB2312"/>
          <w:kern w:val="0"/>
          <w:sz w:val="30"/>
          <w:szCs w:val="30"/>
        </w:rPr>
        <w:t>元，支出决算为</w:t>
      </w:r>
      <w:r>
        <w:rPr>
          <w:rFonts w:hint="eastAsia" w:ascii="Times New Roman" w:hAnsi="Times New Roman" w:eastAsia="仿宋_GB2312" w:cs="Times New Roman"/>
          <w:sz w:val="30"/>
          <w:szCs w:val="30"/>
        </w:rPr>
        <w:t>26,465,452.12</w:t>
      </w:r>
      <w:r>
        <w:rPr>
          <w:rFonts w:hint="eastAsia" w:ascii="Times New Roman" w:hAnsi="Times New Roman" w:eastAsia="仿宋_GB2312" w:cs="仿宋_GB2312"/>
          <w:kern w:val="0"/>
          <w:sz w:val="30"/>
          <w:szCs w:val="30"/>
        </w:rPr>
        <w:t>元，完成年初预算的</w:t>
      </w:r>
      <w:r>
        <w:rPr>
          <w:rFonts w:hint="eastAsia" w:ascii="Times New Roman" w:hAnsi="Times New Roman" w:eastAsia="仿宋_GB2312" w:cs="Times New Roman"/>
          <w:sz w:val="30"/>
          <w:szCs w:val="30"/>
        </w:rPr>
        <w:t>124.25%</w:t>
      </w:r>
      <w:r>
        <w:rPr>
          <w:rFonts w:hint="eastAsia" w:ascii="Times New Roman" w:hAnsi="Times New Roman" w:eastAsia="仿宋_GB2312" w:cs="仿宋_GB2312"/>
          <w:kern w:val="0"/>
          <w:sz w:val="30"/>
          <w:szCs w:val="30"/>
        </w:rPr>
        <w:t>。其中：</w:t>
      </w:r>
    </w:p>
    <w:p w14:paraId="6ECC8544">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sz w:val="30"/>
          <w:szCs w:val="30"/>
        </w:rPr>
        <w:t>1. 卫生健康支出（类）基层医疗卫生机构（款）城市社区卫生机构（项）年初预算为18000100.00元，支出决算为20941507.52元，完成年初预算的110.79%，决算数大于年初预算数的主要原因是本年度追加的人员支出、2023年基本药物制度-基层医疗卫生机构补助资金及追加了</w:t>
      </w:r>
      <w:r>
        <w:rPr>
          <w:rFonts w:hint="eastAsia" w:ascii="Times New Roman" w:hAnsi="Times New Roman" w:eastAsia="仿宋_GB2312" w:cs="仿宋_GB2312"/>
          <w:sz w:val="30"/>
          <w:szCs w:val="30"/>
          <w:lang w:val="en-US" w:eastAsia="zh-CN"/>
        </w:rPr>
        <w:t>人员经费</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2.卫生健康支出（类）公共卫生（款）基本公共卫生服务（项）年初预算为3300000元，追加预算为5117334.80元，支出决算为5117334.80元，完成追加预算的100%，决算数大于年初预算数的主要原因是追加基本公共卫生服务预算。</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3.卫生健康支出（类）公共卫生（款）重大公共卫生服务（项）年初预算为0.00元，追加预算为271785.00元，支出决算为271785.00元，完成追加预算的100%，决算数大于年初预算数的主要原因是追加艾滋病防治、慢性病防治、妇幼卫生监测、居民健康素养监测、精神卫生、饮用水质卫生监测和环境卫生监测、人体生物监测、扩大国家免疫规划等项目经费。</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4.卫生健康支出（类）公共卫生（款）其他公共卫生支出（项）年初预算为0.00元，追加预算为14602.00元，支出决算为14602.00元，完成追加预算的100%，决算数大于年初预算数的主要原因是追加儿童先天性疾病筛查与救助项目经费。</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5.卫生健康支出（类）公共卫生（款）计划生育服务（项）年初预算为0.00元，追加预算为7972.80元，支出决算为7972.80元，完成追加预算的100%，决算数大于年初预算数的主要原因是追加2023年失独人员免费体检项目经费。</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6.卫生健康支出（类）公共卫生（款）突发公共卫生事件应急处理（项）年初预算为0.00元，追加预算为112250元，支出决算为112250元，完成追加预算的100%，决算数大于年初预算数的主要原因是追加过渡期临时性工作补助项目经费。</w:t>
      </w:r>
    </w:p>
    <w:p w14:paraId="1EBC7D4D">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六、一般公共预算财政拨款基本支出决算情况说明</w:t>
      </w:r>
    </w:p>
    <w:p w14:paraId="7423FFD0">
      <w:pPr>
        <w:autoSpaceDE w:val="0"/>
        <w:autoSpaceDN w:val="0"/>
        <w:adjustRightInd w:val="0"/>
        <w:spacing w:line="600" w:lineRule="exact"/>
        <w:ind w:firstLine="72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天津市滨海新区汉沽街社区卫生服务中心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年度部门决算一般公共预算财政拨款基本支出合计</w:t>
      </w:r>
      <w:r>
        <w:rPr>
          <w:rFonts w:hint="eastAsia" w:ascii="Times New Roman" w:hAnsi="Times New Roman" w:eastAsia="仿宋_GB2312" w:cs="Times New Roman"/>
          <w:sz w:val="30"/>
          <w:szCs w:val="30"/>
        </w:rPr>
        <w:t>19,941,507.52</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年度相比减少616,244.48元，</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rPr>
        <w:t>：</w:t>
      </w:r>
      <w:r>
        <w:rPr>
          <w:rFonts w:hint="eastAsia" w:ascii="Times New Roman" w:hAnsi="Times New Roman" w:eastAsia="仿宋_GB2312" w:cs="仿宋_GB2312"/>
          <w:sz w:val="30"/>
          <w:szCs w:val="30"/>
          <w:lang w:val="en-US" w:eastAsia="zh-CN"/>
        </w:rPr>
        <w:t>本年新增</w:t>
      </w:r>
      <w:r>
        <w:rPr>
          <w:rFonts w:hint="eastAsia" w:ascii="Times New Roman" w:hAnsi="Times New Roman" w:eastAsia="仿宋_GB2312" w:cs="仿宋_GB2312"/>
          <w:sz w:val="30"/>
          <w:szCs w:val="30"/>
        </w:rPr>
        <w:t>离休干部抚恤金及公用经费较20</w:t>
      </w:r>
      <w:bookmarkStart w:id="0" w:name="_GoBack"/>
      <w:bookmarkEnd w:id="0"/>
      <w:r>
        <w:rPr>
          <w:rFonts w:hint="eastAsia" w:ascii="Times New Roman" w:hAnsi="Times New Roman" w:eastAsia="仿宋_GB2312" w:cs="仿宋_GB2312"/>
          <w:sz w:val="30"/>
          <w:szCs w:val="30"/>
        </w:rPr>
        <w:t>22年有所减少。</w:t>
      </w:r>
      <w:r>
        <w:rPr>
          <w:rFonts w:hint="eastAsia" w:ascii="Times New Roman" w:hAnsi="Times New Roman" w:eastAsia="仿宋_GB2312" w:cs="仿宋_GB2312"/>
          <w:kern w:val="0"/>
          <w:sz w:val="30"/>
          <w:szCs w:val="30"/>
        </w:rPr>
        <w:t>其中：</w:t>
      </w:r>
    </w:p>
    <w:p w14:paraId="15D5A0E5">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人员经费</w:t>
      </w:r>
      <w:r>
        <w:rPr>
          <w:rFonts w:hint="eastAsia" w:ascii="Times New Roman" w:hAnsi="Times New Roman" w:eastAsia="仿宋_GB2312" w:cs="Times New Roman"/>
          <w:sz w:val="30"/>
          <w:szCs w:val="30"/>
        </w:rPr>
        <w:t>19,360,965.02</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基本工资、津贴补贴、绩效工资、机关事业单位基本养老保险缴费、职业年金缴费、职工基本医疗保险缴费、其他社会保障缴费、住房公积金、其他工资福利支出、退休费、抚恤金、奖励金、其他对个人和家庭的补助。</w:t>
      </w:r>
    </w:p>
    <w:p w14:paraId="4DE12EC9">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公用经费</w:t>
      </w:r>
      <w:r>
        <w:rPr>
          <w:rFonts w:hint="eastAsia" w:ascii="Times New Roman" w:hAnsi="Times New Roman" w:eastAsia="仿宋_GB2312" w:cs="Times New Roman"/>
          <w:sz w:val="30"/>
          <w:szCs w:val="30"/>
        </w:rPr>
        <w:t>580,542.50</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办公费、印刷费、咨询费、手续费、水费、电费、邮电费、取暖费、物业管理费、差旅费、维修（护）费、培训费、专用材料费、劳务费、工会经费、福利费、其他交通费用、其他商品和服务支出、办公设备购置、专用设备购置。</w:t>
      </w:r>
    </w:p>
    <w:p w14:paraId="0EF2F5D9">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七、政府性基金预算财政拨款收支决算情况</w:t>
      </w:r>
    </w:p>
    <w:p w14:paraId="1EFA62C9">
      <w:pPr>
        <w:autoSpaceDE w:val="0"/>
        <w:autoSpaceDN w:val="0"/>
        <w:adjustRightInd w:val="0"/>
        <w:spacing w:line="580" w:lineRule="exact"/>
        <w:ind w:firstLine="600"/>
        <w:jc w:val="left"/>
        <w:rPr>
          <w:rFonts w:ascii="Times New Roman" w:hAnsi="Times New Roman" w:eastAsia="楷体" w:cs="楷体"/>
          <w:kern w:val="0"/>
          <w:sz w:val="30"/>
          <w:szCs w:val="30"/>
        </w:rPr>
      </w:pPr>
      <w:r>
        <w:rPr>
          <w:rFonts w:hint="eastAsia" w:ascii="Times New Roman" w:hAnsi="Times New Roman" w:eastAsia="仿宋_GB2312" w:cs="仿宋_GB2312"/>
          <w:sz w:val="30"/>
          <w:szCs w:val="30"/>
        </w:rPr>
        <w:t>天津市滨海新区汉沽街社区卫生服务中心2023年度无政府性基金预算财政拨款收入、支出和结转结余。</w:t>
      </w:r>
    </w:p>
    <w:p w14:paraId="1DAD409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八、国有资本经营预算财政拨款收支决算情况说明</w:t>
      </w:r>
    </w:p>
    <w:p w14:paraId="350D8C80">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sz w:val="30"/>
          <w:szCs w:val="30"/>
        </w:rPr>
        <w:t>天津市滨海新区汉沽街社区卫生服务中心2023年度无国有资本经营预算财政拨款收入、支出和结转结余。</w:t>
      </w:r>
    </w:p>
    <w:p w14:paraId="5BDCE80A">
      <w:pPr>
        <w:keepNext/>
        <w:keepLines/>
        <w:autoSpaceDE w:val="0"/>
        <w:autoSpaceDN w:val="0"/>
        <w:adjustRightInd w:val="0"/>
        <w:spacing w:line="600" w:lineRule="exact"/>
        <w:ind w:firstLine="602" w:firstLineChars="200"/>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九、财政拨款</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三公</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经费</w:t>
      </w:r>
      <w:r>
        <w:rPr>
          <w:rFonts w:hint="eastAsia" w:ascii="Times New Roman" w:hAnsi="Times New Roman" w:eastAsia="黑体" w:cs="黑体"/>
          <w:b/>
          <w:bCs/>
          <w:kern w:val="0"/>
          <w:sz w:val="30"/>
          <w:szCs w:val="30"/>
          <w:lang w:val="zh-CN"/>
        </w:rPr>
        <w:t>支出决算</w:t>
      </w:r>
      <w:r>
        <w:rPr>
          <w:rFonts w:hint="eastAsia" w:ascii="Times New Roman" w:hAnsi="Times New Roman" w:eastAsia="黑体" w:cs="黑体"/>
          <w:b/>
          <w:bCs/>
          <w:kern w:val="0"/>
          <w:sz w:val="30"/>
          <w:szCs w:val="30"/>
        </w:rPr>
        <w:t>情况</w:t>
      </w:r>
    </w:p>
    <w:p w14:paraId="0FF84E7C">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p>
    <w:p w14:paraId="15DEFFC0">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w:t>
      </w:r>
      <w:r>
        <w:rPr>
          <w:rFonts w:hint="eastAsia" w:ascii="Times New Roman" w:hAnsi="Times New Roman" w:eastAsia="仿宋_GB2312" w:cs="仿宋_GB2312"/>
          <w:sz w:val="30"/>
          <w:szCs w:val="30"/>
          <w:lang w:eastAsia="zh-CN"/>
        </w:rPr>
        <w:t>“三公”经费</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w:t>
      </w:r>
      <w:r>
        <w:rPr>
          <w:rFonts w:hint="eastAsia" w:ascii="Times New Roman" w:hAnsi="Times New Roman" w:eastAsia="仿宋_GB2312" w:cs="仿宋_GB2312"/>
          <w:sz w:val="30"/>
          <w:szCs w:val="30"/>
          <w:lang w:eastAsia="zh-CN"/>
        </w:rPr>
        <w:t>“三公”经费</w:t>
      </w:r>
      <w:r>
        <w:rPr>
          <w:rFonts w:hint="eastAsia" w:ascii="Times New Roman" w:hAnsi="Times New Roman" w:eastAsia="仿宋_GB2312" w:cs="仿宋_GB2312"/>
          <w:sz w:val="30"/>
          <w:szCs w:val="30"/>
        </w:rPr>
        <w:t>。</w:t>
      </w:r>
    </w:p>
    <w:p w14:paraId="34DF17FC">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（二）具体情况</w:t>
      </w:r>
    </w:p>
    <w:p w14:paraId="3C80BB79">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1.</w:t>
      </w:r>
      <w:r>
        <w:rPr>
          <w:rFonts w:hint="eastAsia" w:ascii="Times New Roman" w:hAnsi="Times New Roman" w:eastAsia="仿宋_GB2312" w:cs="仿宋_GB2312"/>
          <w:kern w:val="0"/>
          <w:sz w:val="30"/>
          <w:szCs w:val="30"/>
        </w:rPr>
        <w:t>因公出国（境）费预算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本年度未用财政拨款经费列支因公出国（境）费。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本年度未用财政拨款经费列支因公出国（境）费。</w:t>
      </w:r>
    </w:p>
    <w:p w14:paraId="602E01CB">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3年本单位组织的出国团组</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个，出国</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23E365C8">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公务用车购置及运行维护费预算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本年度未用财政拨款经费列支公务用车购置及运行维护费。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本年度未用财政拨款经费列支公务用车购置及运行维护费。</w:t>
      </w:r>
      <w:r>
        <w:rPr>
          <w:rFonts w:hint="eastAsia" w:ascii="Times New Roman" w:hAnsi="Times New Roman" w:eastAsia="仿宋_GB2312" w:cs="仿宋_GB2312"/>
          <w:kern w:val="0"/>
          <w:sz w:val="30"/>
          <w:szCs w:val="30"/>
        </w:rPr>
        <w:t>其中：</w:t>
      </w:r>
    </w:p>
    <w:p w14:paraId="34471399">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本年度未用财政拨款经费列公务用车运行维护费。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本年度未用财政拨款经费列公务用车运行维护费。</w:t>
      </w:r>
    </w:p>
    <w:p w14:paraId="4C805365">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截至</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w:t>
      </w:r>
      <w:r>
        <w:rPr>
          <w:rFonts w:ascii="Times New Roman" w:hAnsi="Times New Roman" w:eastAsia="仿宋_GB2312" w:cs="仿宋_GB2312"/>
          <w:kern w:val="0"/>
          <w:sz w:val="30"/>
          <w:szCs w:val="30"/>
        </w:rPr>
        <w:t>12</w:t>
      </w:r>
      <w:r>
        <w:rPr>
          <w:rFonts w:hint="eastAsia" w:ascii="Times New Roman" w:hAnsi="Times New Roman" w:eastAsia="仿宋_GB2312" w:cs="仿宋_GB2312"/>
          <w:kern w:val="0"/>
          <w:sz w:val="30"/>
          <w:szCs w:val="30"/>
        </w:rPr>
        <w:t>月</w:t>
      </w:r>
      <w:r>
        <w:rPr>
          <w:rFonts w:ascii="Times New Roman" w:hAnsi="Times New Roman" w:eastAsia="仿宋_GB2312" w:cs="仿宋_GB2312"/>
          <w:kern w:val="0"/>
          <w:sz w:val="30"/>
          <w:szCs w:val="30"/>
        </w:rPr>
        <w:t>31</w:t>
      </w:r>
      <w:r>
        <w:rPr>
          <w:rFonts w:hint="eastAsia" w:ascii="Times New Roman" w:hAnsi="Times New Roman" w:eastAsia="仿宋_GB2312" w:cs="仿宋_GB2312"/>
          <w:kern w:val="0"/>
          <w:sz w:val="30"/>
          <w:szCs w:val="30"/>
        </w:rPr>
        <w:t>日，使用财政拨款开支运行维护费的公务用车保有量为</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66D11FA1">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公务用车购置费预算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本年度未用财政拨款经费列支公务用车购置费。</w:t>
      </w:r>
    </w:p>
    <w:p w14:paraId="04BEBAE6">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3年购置公务用车</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3F639E4E">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公务接待费预算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本年度未用财政拨款经费列支公务接待费。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本年度未用财政拨款经费列支公务接待费。</w:t>
      </w:r>
    </w:p>
    <w:p w14:paraId="36FFB456">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3年本单位国内公务接待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人次；其中，外事接待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1F959FC7">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十、机关运行经费支出情况说明</w:t>
      </w:r>
    </w:p>
    <w:p w14:paraId="4485E57E">
      <w:pPr>
        <w:autoSpaceDE w:val="0"/>
        <w:autoSpaceDN w:val="0"/>
        <w:adjustRightInd w:val="0"/>
        <w:spacing w:line="58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sz w:val="30"/>
          <w:szCs w:val="30"/>
        </w:rPr>
        <w:t>天津市滨海新区汉沽街社区卫生服务中心2023年度无机关运行经费。</w:t>
      </w:r>
    </w:p>
    <w:p w14:paraId="40F9EE9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十一、政府采购支出情况说明</w:t>
      </w:r>
    </w:p>
    <w:p w14:paraId="11BEE5A2">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color w:val="000000"/>
          <w:kern w:val="0"/>
          <w:sz w:val="30"/>
          <w:szCs w:val="30"/>
        </w:rPr>
        <w:t>天津市滨海新区汉沽街社区卫生服务中心</w:t>
      </w:r>
      <w:r>
        <w:rPr>
          <w:rFonts w:hint="eastAsia" w:ascii="Times New Roman" w:hAnsi="Times New Roman" w:eastAsia="宋体" w:cs="宋体"/>
          <w:color w:val="000000"/>
          <w:kern w:val="0"/>
          <w:sz w:val="30"/>
          <w:szCs w:val="30"/>
        </w:rPr>
        <w:t>2023</w:t>
      </w:r>
      <w:r>
        <w:rPr>
          <w:rFonts w:hint="eastAsia" w:ascii="Times New Roman" w:hAnsi="Times New Roman" w:eastAsia="仿宋_GB2312" w:cs="仿宋_GB2312"/>
          <w:color w:val="000000"/>
          <w:kern w:val="0"/>
          <w:sz w:val="30"/>
          <w:szCs w:val="30"/>
        </w:rPr>
        <w:t>年</w:t>
      </w:r>
      <w:r>
        <w:rPr>
          <w:rFonts w:hint="eastAsia" w:ascii="Times New Roman" w:hAnsi="Times New Roman" w:eastAsia="仿宋_GB2312" w:cs="仿宋_GB2312"/>
          <w:sz w:val="30"/>
          <w:szCs w:val="30"/>
        </w:rPr>
        <w:t>政府</w:t>
      </w:r>
      <w:r>
        <w:rPr>
          <w:rFonts w:hint="eastAsia" w:ascii="Times New Roman" w:hAnsi="Times New Roman" w:eastAsia="仿宋_GB2312" w:cs="仿宋_GB2312"/>
          <w:color w:val="000000"/>
          <w:kern w:val="0"/>
          <w:sz w:val="30"/>
          <w:szCs w:val="30"/>
        </w:rPr>
        <w:t>采购支出总额</w:t>
      </w:r>
      <w:r>
        <w:rPr>
          <w:rFonts w:hint="eastAsia" w:ascii="Times New Roman" w:hAnsi="Times New Roman" w:eastAsia="仿宋_GB2312" w:cs="Times New Roman"/>
          <w:kern w:val="0"/>
          <w:sz w:val="30"/>
          <w:szCs w:val="30"/>
        </w:rPr>
        <w:t>90,355.00</w:t>
      </w:r>
      <w:r>
        <w:rPr>
          <w:rFonts w:hint="eastAsia" w:ascii="Times New Roman" w:hAnsi="Times New Roman" w:eastAsia="仿宋_GB2312" w:cs="仿宋_GB2312"/>
          <w:color w:val="000000"/>
          <w:kern w:val="0"/>
          <w:sz w:val="30"/>
          <w:szCs w:val="30"/>
        </w:rPr>
        <w:t>元，其中：政府采购货物支出</w:t>
      </w:r>
      <w:r>
        <w:rPr>
          <w:rFonts w:hint="eastAsia" w:ascii="Times New Roman" w:hAnsi="Times New Roman" w:eastAsia="仿宋_GB2312" w:cs="Times New Roman"/>
          <w:kern w:val="0"/>
          <w:sz w:val="30"/>
          <w:szCs w:val="30"/>
        </w:rPr>
        <w:t>90,355.00</w:t>
      </w:r>
      <w:r>
        <w:rPr>
          <w:rFonts w:hint="eastAsia" w:ascii="Times New Roman" w:hAnsi="Times New Roman" w:eastAsia="仿宋_GB2312" w:cs="仿宋_GB2312"/>
          <w:color w:val="000000"/>
          <w:kern w:val="0"/>
          <w:sz w:val="30"/>
          <w:szCs w:val="30"/>
        </w:rPr>
        <w:t>元、政府采购工程支出</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元、政府采购服务支出</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元。授予中小企业合同金额</w:t>
      </w:r>
      <w:r>
        <w:rPr>
          <w:rFonts w:hint="eastAsia" w:ascii="Times New Roman" w:hAnsi="Times New Roman" w:eastAsia="仿宋_GB2312" w:cs="Times New Roman"/>
          <w:kern w:val="0"/>
          <w:sz w:val="30"/>
          <w:szCs w:val="30"/>
        </w:rPr>
        <w:t>90,355.00</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100.0%</w:t>
      </w:r>
      <w:r>
        <w:rPr>
          <w:rFonts w:hint="eastAsia" w:ascii="Times New Roman" w:hAnsi="Times New Roman" w:eastAsia="仿宋_GB2312" w:cs="仿宋_GB2312"/>
          <w:color w:val="000000"/>
          <w:kern w:val="0"/>
          <w:sz w:val="30"/>
          <w:szCs w:val="30"/>
        </w:rPr>
        <w:t>，其中：授予小微企业合同金额</w:t>
      </w:r>
      <w:r>
        <w:rPr>
          <w:rFonts w:hint="eastAsia" w:ascii="Times New Roman" w:hAnsi="Times New Roman" w:eastAsia="仿宋_GB2312" w:cs="Times New Roman"/>
          <w:kern w:val="0"/>
          <w:sz w:val="30"/>
          <w:szCs w:val="30"/>
        </w:rPr>
        <w:t>90,355.00</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100.0%</w:t>
      </w:r>
      <w:r>
        <w:rPr>
          <w:rFonts w:hint="eastAsia" w:ascii="Times New Roman" w:hAnsi="Times New Roman" w:eastAsia="仿宋_GB2312" w:cs="仿宋_GB2312"/>
          <w:color w:val="000000"/>
          <w:kern w:val="0"/>
          <w:sz w:val="30"/>
          <w:szCs w:val="30"/>
        </w:rPr>
        <w:t>；</w:t>
      </w:r>
      <w:r>
        <w:rPr>
          <w:rFonts w:hint="eastAsia" w:ascii="Times New Roman" w:hAnsi="Times New Roman" w:eastAsia="仿宋_GB2312" w:cs="仿宋_GB2312"/>
          <w:kern w:val="0"/>
          <w:sz w:val="30"/>
          <w:szCs w:val="30"/>
        </w:rPr>
        <w:t>货物采购授予中小企业合同金额占货物支出金额的</w:t>
      </w:r>
      <w:r>
        <w:rPr>
          <w:rFonts w:hint="eastAsia" w:ascii="Times New Roman" w:hAnsi="Times New Roman" w:eastAsia="仿宋_GB2312" w:cs="仿宋_GB2312"/>
          <w:sz w:val="30"/>
          <w:szCs w:val="30"/>
        </w:rPr>
        <w:t>100.0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，工程采购授予中小企业合同金额占工程支出金额的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，服务采购授予中小企业合同金额占服务支出金额的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w:t>
      </w:r>
    </w:p>
    <w:p w14:paraId="3705483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十二、</w:t>
      </w:r>
      <w:r>
        <w:rPr>
          <w:rFonts w:hint="eastAsia" w:ascii="Times New Roman" w:hAnsi="Times New Roman" w:eastAsia="黑体" w:cs="黑体"/>
          <w:b/>
          <w:bCs/>
          <w:kern w:val="0"/>
          <w:sz w:val="30"/>
          <w:szCs w:val="30"/>
        </w:rPr>
        <w:t>国有资产占有使用情况说明</w:t>
      </w:r>
    </w:p>
    <w:p w14:paraId="129A5993">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天津市滨海新区汉沽街社区卫生服务中心2023年度无国有资产占有使用情况。</w:t>
      </w:r>
    </w:p>
    <w:p w14:paraId="42F2E9EE">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十三、</w:t>
      </w:r>
      <w:r>
        <w:rPr>
          <w:rFonts w:hint="eastAsia" w:ascii="Times New Roman" w:hAnsi="Times New Roman" w:eastAsia="黑体" w:cs="黑体"/>
          <w:b/>
          <w:bCs/>
          <w:kern w:val="0"/>
          <w:sz w:val="30"/>
          <w:szCs w:val="30"/>
        </w:rPr>
        <w:t>预算绩效情况说明</w:t>
      </w:r>
    </w:p>
    <w:p w14:paraId="3B239C98">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根据预算绩效管理要求，天津市滨海新区汉沽街社区卫生服务中心2023年度已对23个项目开展绩效自评，涉及金额6523944.60元，自评结果已随部门决算一并公开。</w:t>
      </w:r>
    </w:p>
    <w:p w14:paraId="100513FF">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十四、</w:t>
      </w:r>
      <w:r>
        <w:rPr>
          <w:rFonts w:hint="eastAsia" w:ascii="Times New Roman" w:hAnsi="Times New Roman" w:eastAsia="黑体" w:cs="黑体"/>
          <w:b/>
          <w:bCs/>
          <w:kern w:val="0"/>
          <w:sz w:val="30"/>
          <w:szCs w:val="30"/>
        </w:rPr>
        <w:t>教育、医疗卫生、社会保障和就业、住房保障、涉农补贴等民生支出情况说明</w:t>
      </w:r>
    </w:p>
    <w:p w14:paraId="06E69D5A">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天津市滨海新区汉沽街社区卫生服务中心不属于乡、镇、街级单位，不涉及公开2023年度教育、医疗卫生、社会保障和就业、住房保障、涉农补贴等民生支出情况。</w:t>
      </w:r>
    </w:p>
    <w:p w14:paraId="1F384492">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14:paraId="73DF67B3">
      <w:pPr>
        <w:autoSpaceDE w:val="0"/>
        <w:autoSpaceDN w:val="0"/>
        <w:adjustRightInd w:val="0"/>
        <w:jc w:val="left"/>
        <w:rPr>
          <w:rFonts w:ascii="Times New Roman" w:hAnsi="Times New Roman" w:eastAsia="仿宋_GB2312" w:cs="仿宋_GB2312"/>
          <w:b/>
          <w:bCs/>
          <w:color w:val="000000"/>
          <w:kern w:val="0"/>
          <w:sz w:val="30"/>
          <w:szCs w:val="30"/>
        </w:rPr>
      </w:pPr>
      <w:r>
        <w:rPr>
          <w:rFonts w:ascii="Times New Roman" w:hAnsi="Times New Roman" w:eastAsia="仿宋_GB2312" w:cs="仿宋_GB2312"/>
          <w:b/>
          <w:bCs/>
          <w:color w:val="000000"/>
          <w:kern w:val="0"/>
          <w:sz w:val="30"/>
          <w:szCs w:val="30"/>
        </w:rPr>
        <w:br w:type="page"/>
      </w:r>
    </w:p>
    <w:p w14:paraId="125C7038">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第四部分名词解释</w:t>
      </w:r>
    </w:p>
    <w:p w14:paraId="4B82141A">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14:paraId="267468FD">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5BEFE92C">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02EDCE96">
      <w:pPr>
        <w:autoSpaceDE w:val="0"/>
        <w:autoSpaceDN w:val="0"/>
        <w:adjustRightInd w:val="0"/>
        <w:spacing w:line="600" w:lineRule="exact"/>
        <w:ind w:firstLine="600"/>
        <w:jc w:val="left"/>
        <w:rPr>
          <w:rFonts w:ascii="Times New Roman" w:hAnsi="Times New Roman"/>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EwNTM5NzYwMDRjMzkwZTVkZjY2ODkwMGIxNGU0OTUifQ=="/>
  </w:docVars>
  <w:rsids>
    <w:rsidRoot w:val="006A094D"/>
    <w:rsid w:val="00013A12"/>
    <w:rsid w:val="0002687D"/>
    <w:rsid w:val="00047C6F"/>
    <w:rsid w:val="000528EE"/>
    <w:rsid w:val="000719FD"/>
    <w:rsid w:val="000B5C71"/>
    <w:rsid w:val="000D3000"/>
    <w:rsid w:val="000D4B98"/>
    <w:rsid w:val="00127EFA"/>
    <w:rsid w:val="00142888"/>
    <w:rsid w:val="00152EEB"/>
    <w:rsid w:val="00153077"/>
    <w:rsid w:val="00167CB7"/>
    <w:rsid w:val="001A0E4F"/>
    <w:rsid w:val="001B5C3C"/>
    <w:rsid w:val="001C0399"/>
    <w:rsid w:val="001D587E"/>
    <w:rsid w:val="002124F6"/>
    <w:rsid w:val="00264B59"/>
    <w:rsid w:val="00266705"/>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95130"/>
    <w:rsid w:val="009A7ED3"/>
    <w:rsid w:val="009D74D7"/>
    <w:rsid w:val="009E4FBA"/>
    <w:rsid w:val="00A57AE7"/>
    <w:rsid w:val="00A93DF7"/>
    <w:rsid w:val="00AF71AE"/>
    <w:rsid w:val="00B33C70"/>
    <w:rsid w:val="00B75228"/>
    <w:rsid w:val="00B811F1"/>
    <w:rsid w:val="00B81B9F"/>
    <w:rsid w:val="00BC763A"/>
    <w:rsid w:val="00BC7D6F"/>
    <w:rsid w:val="00BD3CAC"/>
    <w:rsid w:val="00BF697A"/>
    <w:rsid w:val="00C52E77"/>
    <w:rsid w:val="00C65A44"/>
    <w:rsid w:val="00C65D10"/>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39B330A"/>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4A2E0F"/>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B3D495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2A514BB"/>
    <w:rsid w:val="53C102A5"/>
    <w:rsid w:val="54380029"/>
    <w:rsid w:val="54A61249"/>
    <w:rsid w:val="54F16968"/>
    <w:rsid w:val="55463D3C"/>
    <w:rsid w:val="55AC416B"/>
    <w:rsid w:val="564C0516"/>
    <w:rsid w:val="5713248B"/>
    <w:rsid w:val="57833AC4"/>
    <w:rsid w:val="578735B4"/>
    <w:rsid w:val="58C3061C"/>
    <w:rsid w:val="58E93DFA"/>
    <w:rsid w:val="593E565E"/>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Char"/>
    <w:basedOn w:val="8"/>
    <w:link w:val="2"/>
    <w:qFormat/>
    <w:uiPriority w:val="99"/>
    <w:rPr>
      <w:rFonts w:ascii="方正小标宋简体" w:eastAsia="方正小标宋简体"/>
      <w:kern w:val="0"/>
      <w:sz w:val="24"/>
      <w:szCs w:val="24"/>
    </w:rPr>
  </w:style>
  <w:style w:type="character" w:customStyle="1" w:styleId="10">
    <w:name w:val="标题 2 Char"/>
    <w:basedOn w:val="8"/>
    <w:link w:val="3"/>
    <w:qFormat/>
    <w:uiPriority w:val="99"/>
    <w:rPr>
      <w:rFonts w:ascii="方正小标宋简体" w:eastAsia="方正小标宋简体"/>
      <w:kern w:val="0"/>
      <w:sz w:val="24"/>
      <w:szCs w:val="24"/>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4755</Words>
  <Characters>5500</Characters>
  <Lines>47</Lines>
  <Paragraphs>13</Paragraphs>
  <TotalTime>1</TotalTime>
  <ScaleCrop>false</ScaleCrop>
  <LinksUpToDate>false</LinksUpToDate>
  <CharactersWithSpaces>5533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S.mile</cp:lastModifiedBy>
  <dcterms:modified xsi:type="dcterms:W3CDTF">2025-11-03T08:53:52Z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A44E0A178634409BBBA50D5636087390_13</vt:lpwstr>
  </property>
  <property fmtid="{D5CDD505-2E9C-101B-9397-08002B2CF9AE}" pid="4" name="KSOTemplateDocerSaveRecord">
    <vt:lpwstr>eyJoZGlkIjoiMzEwNTM5NzYwMDRjMzkwZTVkZjY2ODkwMGIxNGU0OTUiLCJ1c2VySWQiOiIyNDA2NzM0NzUifQ==</vt:lpwstr>
  </property>
</Properties>
</file>