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C1DFE">
      <w:pPr>
        <w:autoSpaceDE w:val="0"/>
        <w:autoSpaceDN w:val="0"/>
        <w:adjustRightInd w:val="0"/>
        <w:jc w:val="center"/>
        <w:rPr>
          <w:rFonts w:ascii="Times New Roman" w:hAnsi="Times New Roman" w:eastAsia="方正小标宋简体" w:cs="方正小标宋简体"/>
          <w:kern w:val="0"/>
          <w:sz w:val="48"/>
          <w:szCs w:val="48"/>
          <w:lang w:val="zh-CN"/>
        </w:rPr>
      </w:pPr>
    </w:p>
    <w:p w14:paraId="115B690B">
      <w:pPr>
        <w:autoSpaceDE w:val="0"/>
        <w:autoSpaceDN w:val="0"/>
        <w:adjustRightInd w:val="0"/>
        <w:jc w:val="center"/>
        <w:rPr>
          <w:rFonts w:ascii="Times New Roman" w:hAnsi="Times New Roman" w:eastAsia="方正小标宋简体" w:cs="方正小标宋简体"/>
          <w:kern w:val="0"/>
          <w:sz w:val="48"/>
          <w:szCs w:val="48"/>
          <w:lang w:val="zh-CN"/>
        </w:rPr>
      </w:pPr>
    </w:p>
    <w:p w14:paraId="7C986591">
      <w:pPr>
        <w:autoSpaceDE w:val="0"/>
        <w:autoSpaceDN w:val="0"/>
        <w:adjustRightInd w:val="0"/>
        <w:jc w:val="center"/>
        <w:rPr>
          <w:rFonts w:ascii="Times New Roman" w:hAnsi="Times New Roman" w:eastAsia="方正小标宋简体" w:cs="方正小标宋简体"/>
          <w:kern w:val="0"/>
          <w:sz w:val="48"/>
          <w:szCs w:val="48"/>
          <w:lang w:val="zh-CN"/>
        </w:rPr>
      </w:pPr>
    </w:p>
    <w:p w14:paraId="751115ED">
      <w:pPr>
        <w:autoSpaceDE w:val="0"/>
        <w:autoSpaceDN w:val="0"/>
        <w:adjustRightInd w:val="0"/>
        <w:jc w:val="center"/>
        <w:rPr>
          <w:rFonts w:ascii="Times New Roman" w:hAnsi="Times New Roman" w:eastAsia="方正小标宋简体" w:cs="方正小标宋简体"/>
          <w:kern w:val="0"/>
          <w:sz w:val="48"/>
          <w:szCs w:val="48"/>
          <w:lang w:val="zh-CN"/>
        </w:rPr>
      </w:pPr>
    </w:p>
    <w:p w14:paraId="7A8415D6">
      <w:pPr>
        <w:autoSpaceDE w:val="0"/>
        <w:autoSpaceDN w:val="0"/>
        <w:adjustRightInd w:val="0"/>
        <w:jc w:val="center"/>
        <w:rPr>
          <w:rFonts w:ascii="Times New Roman" w:hAnsi="Times New Roman" w:eastAsia="方正小标宋简体" w:cs="方正小标宋简体"/>
          <w:kern w:val="0"/>
          <w:sz w:val="48"/>
          <w:szCs w:val="48"/>
          <w:lang w:val="zh-CN"/>
        </w:rPr>
      </w:pPr>
    </w:p>
    <w:p w14:paraId="1E91ED90">
      <w:pPr>
        <w:autoSpaceDE w:val="0"/>
        <w:autoSpaceDN w:val="0"/>
        <w:adjustRightInd w:val="0"/>
        <w:jc w:val="center"/>
        <w:rPr>
          <w:rFonts w:ascii="Times New Roman" w:hAnsi="Times New Roman" w:eastAsia="方正小标宋简体" w:cs="方正小标宋简体"/>
          <w:kern w:val="0"/>
          <w:sz w:val="48"/>
          <w:szCs w:val="48"/>
          <w:lang w:val="zh-CN"/>
        </w:rPr>
      </w:pPr>
    </w:p>
    <w:p w14:paraId="4281C92B">
      <w:pPr>
        <w:autoSpaceDE w:val="0"/>
        <w:autoSpaceDN w:val="0"/>
        <w:adjustRightInd w:val="0"/>
        <w:jc w:val="center"/>
        <w:rPr>
          <w:rFonts w:ascii="Times New Roman" w:hAnsi="Times New Roman" w:eastAsia="方正小标宋简体" w:cs="方正小标宋简体"/>
          <w:kern w:val="0"/>
          <w:sz w:val="48"/>
          <w:szCs w:val="48"/>
          <w:lang w:val="zh-CN"/>
        </w:rPr>
      </w:pPr>
    </w:p>
    <w:p w14:paraId="2581BCB7">
      <w:pPr>
        <w:autoSpaceDE w:val="0"/>
        <w:autoSpaceDN w:val="0"/>
        <w:adjustRightInd w:val="0"/>
        <w:jc w:val="center"/>
        <w:rPr>
          <w:rFonts w:ascii="Times New Roman" w:hAnsi="Times New Roman" w:eastAsia="方正小标宋简体" w:cs="方正小标宋简体"/>
          <w:kern w:val="0"/>
          <w:sz w:val="48"/>
          <w:szCs w:val="48"/>
          <w:lang w:val="zh-CN"/>
        </w:rPr>
      </w:pPr>
    </w:p>
    <w:p w14:paraId="5F05E932">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天津市滨海新区杨家泊镇社区卫生服务</w:t>
      </w:r>
    </w:p>
    <w:p w14:paraId="42B809BF">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中心2023年度部门决算</w:t>
      </w:r>
    </w:p>
    <w:p w14:paraId="2AEE99DC">
      <w:pPr>
        <w:autoSpaceDE w:val="0"/>
        <w:autoSpaceDN w:val="0"/>
        <w:adjustRightInd w:val="0"/>
        <w:spacing w:line="580" w:lineRule="exact"/>
        <w:jc w:val="center"/>
        <w:rPr>
          <w:rFonts w:ascii="Times New Roman" w:hAnsi="Times New Roman" w:eastAsia="黑体" w:cs="黑体"/>
          <w:sz w:val="30"/>
          <w:szCs w:val="30"/>
        </w:rPr>
      </w:pPr>
    </w:p>
    <w:p w14:paraId="680358DC">
      <w:pPr>
        <w:autoSpaceDE w:val="0"/>
        <w:autoSpaceDN w:val="0"/>
        <w:adjustRightInd w:val="0"/>
        <w:spacing w:line="580" w:lineRule="exact"/>
        <w:jc w:val="center"/>
        <w:rPr>
          <w:rFonts w:ascii="Times New Roman" w:hAnsi="Times New Roman" w:eastAsia="黑体" w:cs="黑体"/>
          <w:sz w:val="30"/>
          <w:szCs w:val="30"/>
        </w:rPr>
      </w:pPr>
    </w:p>
    <w:p w14:paraId="08411997">
      <w:pPr>
        <w:autoSpaceDE w:val="0"/>
        <w:autoSpaceDN w:val="0"/>
        <w:adjustRightInd w:val="0"/>
        <w:spacing w:line="580" w:lineRule="exact"/>
        <w:jc w:val="center"/>
        <w:rPr>
          <w:rFonts w:ascii="Times New Roman" w:hAnsi="Times New Roman" w:eastAsia="黑体" w:cs="黑体"/>
          <w:sz w:val="30"/>
          <w:szCs w:val="30"/>
        </w:rPr>
      </w:pPr>
    </w:p>
    <w:p w14:paraId="0649ED84">
      <w:pPr>
        <w:autoSpaceDE w:val="0"/>
        <w:autoSpaceDN w:val="0"/>
        <w:adjustRightInd w:val="0"/>
        <w:spacing w:line="580" w:lineRule="exact"/>
        <w:jc w:val="center"/>
        <w:rPr>
          <w:rFonts w:ascii="Times New Roman" w:hAnsi="Times New Roman" w:eastAsia="黑体" w:cs="黑体"/>
          <w:sz w:val="30"/>
          <w:szCs w:val="30"/>
        </w:rPr>
      </w:pPr>
    </w:p>
    <w:p w14:paraId="2F322652">
      <w:pPr>
        <w:autoSpaceDE w:val="0"/>
        <w:autoSpaceDN w:val="0"/>
        <w:adjustRightInd w:val="0"/>
        <w:spacing w:line="580" w:lineRule="exact"/>
        <w:jc w:val="center"/>
        <w:rPr>
          <w:rFonts w:ascii="Times New Roman" w:hAnsi="Times New Roman" w:eastAsia="黑体" w:cs="黑体"/>
          <w:sz w:val="30"/>
          <w:szCs w:val="30"/>
        </w:rPr>
      </w:pPr>
    </w:p>
    <w:p w14:paraId="1656FE85">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76E6E6DF">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14:paraId="2A4072BB">
      <w:pPr>
        <w:autoSpaceDE w:val="0"/>
        <w:autoSpaceDN w:val="0"/>
        <w:adjustRightInd w:val="0"/>
        <w:spacing w:line="600" w:lineRule="exact"/>
        <w:jc w:val="left"/>
        <w:rPr>
          <w:rFonts w:ascii="Times New Roman" w:hAnsi="Times New Roman" w:eastAsia="黑体" w:cs="黑体"/>
          <w:kern w:val="0"/>
          <w:sz w:val="30"/>
          <w:szCs w:val="30"/>
        </w:rPr>
      </w:pPr>
    </w:p>
    <w:p w14:paraId="5022183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7B969C1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2C40152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10B5E4D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087C4B3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033413C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0EFD073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62B217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4BB420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3394CE3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18961F4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4D6C03E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045276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36149D0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4CB8842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1D37292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6553856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097ABD2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5FF6339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20C6E93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4E8362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1B3BB3A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4B866A7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55B07D7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3F5BEAF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48810B8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791C9CF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5015E5C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674D2CE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07F6832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6CE674A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5E2450B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38435B8F">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2661B88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14:paraId="081238A3">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7261CBD1">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天津市滨海新区杨家泊镇社区卫生服务中心的主要职责为承担公共卫生服务和医疗服务。</w:t>
      </w:r>
    </w:p>
    <w:p w14:paraId="3518AA6F">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4A85BDB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天津市滨海新区杨家泊镇社区卫生服务中心内设17个职能科室；下辖0个预算单位。纳入天津市滨海新区杨家泊镇社区卫生服务中心2023年度部门决算编制范围的单位包括：</w:t>
      </w:r>
    </w:p>
    <w:p w14:paraId="532B3119">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w:t>
      </w:r>
    </w:p>
    <w:p w14:paraId="455D268B">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2760995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14:paraId="6AA2E677">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6F42B4F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5932E4E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2DE1493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60C4B17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3FA8D89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7605E5F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0CCD1AD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16B39CF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5EF0F56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3F110D4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117D72B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54D266DD">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38AB8CDF">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5740399D">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1.天津市滨海新区杨家泊镇社区卫生服务中心2023年政府性基金预算财政拨款收入支出决算表为空表。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2.天津市滨海新区杨家泊镇社区卫生服务中心2023年度国有资本经营预算财政拨款收入支出决算表为空表。</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3.天津市滨海新区杨家泊镇社区卫生服务中心2023年度财政拨款“三公”经费支出决算表为空表。</w:t>
      </w:r>
    </w:p>
    <w:p w14:paraId="7B6540AC">
      <w:pPr>
        <w:autoSpaceDE w:val="0"/>
        <w:autoSpaceDN w:val="0"/>
        <w:adjustRightInd w:val="0"/>
        <w:spacing w:line="600" w:lineRule="exact"/>
        <w:ind w:firstLine="601"/>
        <w:jc w:val="left"/>
        <w:rPr>
          <w:rFonts w:ascii="Times New Roman" w:hAnsi="Times New Roman" w:eastAsia="仿宋_GB2312" w:cs="仿宋_GB2312"/>
          <w:sz w:val="30"/>
          <w:szCs w:val="30"/>
        </w:rPr>
      </w:pPr>
    </w:p>
    <w:p w14:paraId="01EA0A81">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14:paraId="2A6AA134">
      <w:pPr>
        <w:autoSpaceDE w:val="0"/>
        <w:autoSpaceDN w:val="0"/>
        <w:adjustRightInd w:val="0"/>
        <w:spacing w:line="580" w:lineRule="exact"/>
        <w:ind w:firstLine="600"/>
        <w:jc w:val="left"/>
        <w:rPr>
          <w:rFonts w:ascii="Times New Roman" w:hAnsi="Times New Roman" w:eastAsia="黑体" w:cs="黑体"/>
          <w:sz w:val="30"/>
          <w:szCs w:val="30"/>
          <w:lang w:val="zh-CN"/>
        </w:rPr>
      </w:pPr>
    </w:p>
    <w:p w14:paraId="5687CED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12A0272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天津市滨海新区杨家泊镇社区卫生服务中心2023年度收入、支出决算总计</w:t>
      </w:r>
      <w:r>
        <w:rPr>
          <w:rFonts w:hint="eastAsia" w:ascii="Times New Roman" w:hAnsi="Times New Roman" w:eastAsia="仿宋_GB2312" w:cs="仿宋_GB2312"/>
          <w:sz w:val="30"/>
          <w:szCs w:val="30"/>
        </w:rPr>
        <w:t>8,813,165.49元，与2022年度相比，收、支总计各增加1,340,552.40元，增长17.94%，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：新增人员导致人员费用增长。</w:t>
      </w:r>
    </w:p>
    <w:p w14:paraId="359C062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37028D0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天津市滨海新区杨家泊镇社区卫生服务中心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8,063,454.03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年度相比增加590,840.94元，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：新增人员导致人员费用增长。</w:t>
      </w:r>
    </w:p>
    <w:p w14:paraId="3A4F425D">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6,372,594.80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79.03</w:t>
      </w:r>
      <w:r>
        <w:rPr>
          <w:rFonts w:hint="eastAsia" w:ascii="Times New Roman" w:hAnsi="Times New Roman" w:eastAsia="宋体" w:cs="Times New Roman"/>
          <w:sz w:val="30"/>
          <w:szCs w:val="30"/>
        </w:rPr>
        <w:t>%；</w:t>
      </w:r>
    </w:p>
    <w:p w14:paraId="05224F77">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16EDCF8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1B94010">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7B92311">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1,689,779.75元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20.96%；</w:t>
      </w:r>
    </w:p>
    <w:p w14:paraId="6C68DF77">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F6166E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8DBFFF5">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0E7A77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1,079.48元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0.01%。</w:t>
      </w:r>
    </w:p>
    <w:p w14:paraId="7398ADA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5FC72D54">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天津市滨海新区杨家泊镇社区卫生服务中心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年度本年支出合计8,001,870.07元，与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年度相比增加825,016.12元，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新增人员导致人员费用增长；受疫情政策影响，导致相关专用材料费增长。</w:t>
      </w:r>
    </w:p>
    <w:p w14:paraId="3485703E">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5,123,720.87元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占64.03%；</w:t>
      </w:r>
    </w:p>
    <w:p w14:paraId="1AA7511A">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2,878,149.20元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占35.97%；</w:t>
      </w:r>
    </w:p>
    <w:p w14:paraId="18494ECB">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0A25CA05">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724BFFF">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160AE94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587F5012">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6,372,594.80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年度相比，财政拨款收、支总计各增加194,340.16元，增长3.15</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新增人员导致人员费用增长。</w:t>
      </w:r>
    </w:p>
    <w:p w14:paraId="66215DE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43EFD4D4">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30A3B2FA">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计6,372,594.80元，占本年支出合计的79.64%，与2022年度相比，一般公共预算财政拨款支出增加194,340.16元，增长3.15%，</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：新增人员导致人员费用增长。</w:t>
      </w:r>
    </w:p>
    <w:p w14:paraId="12778A07">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1B7CCC0F">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6,372,594.80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卫生健康支出（类）支出6372594.80元，占比100%。</w:t>
      </w:r>
    </w:p>
    <w:p w14:paraId="1F30F0F1">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28FAA92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4,602,700.00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6,372,594.80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138.45%</w:t>
      </w:r>
      <w:r>
        <w:rPr>
          <w:rFonts w:hint="eastAsia" w:ascii="Times New Roman" w:hAnsi="Times New Roman" w:eastAsia="仿宋_GB2312" w:cs="仿宋_GB2312"/>
          <w:kern w:val="0"/>
          <w:sz w:val="30"/>
          <w:szCs w:val="30"/>
        </w:rPr>
        <w:t>。其中：</w:t>
      </w:r>
    </w:p>
    <w:p w14:paraId="7EB7DFEA">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卫生健康支出（类）公共卫生（款）突发公共卫生事件应急处理（项）的年初预算数为0.00元，追加预算为32,900.00元，支出决算为32,900.00元，完成追加预算的100.00%，决算数等于追加预算数的主要原因是追加预算用于疫情防控经费。</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2.卫生健康支出（类）公共卫生（款）其他公共卫生支出（项）的年初预算数为0.00元，追加预算2,525.00元，支出决算为2,525.00元，完成追加预算的100.00%，决算数等于追加预算数的主要原因是追加预算用于儿童先天性疾病筛查与救助。</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3.卫生健康支出（类）基层医疗卫生机构（款）乡镇卫生院（项）的年初预算数为3,202,700.00元。支出决算为3,859,777.60元，完成年初预算的120.52%，决算数大于年初预算数的主要原因是追加预算用于新增人员的费用支出。</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4.卫生健康支出（类）公共卫生（款）重大公共卫生服务（项）的年初预算数为0.00元，追加预算22,858.00元，支出决算为22,858.00元，完成追加预算的100.00%，决算数等于追加预算数的主要原因是追加预算用于艾滋病防治、慢性病防治、精神卫生等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5.卫生健康支出（类）公共卫生（款）基本公共卫生服务（项）的年初预算数为1,400,000.00元。支出决算为2,453,445.40元，完成年初预算的175.25%，决算数大于年初预算数的主要原因是追加预算用于基本公共卫生服务项目工作。</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 xml:space="preserve">    6.卫生健康支出（类）计划生育事务（款）计划生育服务（项）的年初预算数为0.00元，追加预算1,088.80元，支出决算为1,088.80元，完成追加预算的100.00%，决算数等于追加预算数的主要原因是追加预算用于失独人员免费体检工作。</w:t>
      </w:r>
    </w:p>
    <w:p w14:paraId="630BDB6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59EAC395">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天津市滨海新区杨家泊镇社区卫生服务中心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3,494,445.60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年度相比增加236,407.77元，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新增人员导致人员费用增长。</w:t>
      </w:r>
      <w:r>
        <w:rPr>
          <w:rFonts w:hint="eastAsia" w:ascii="Times New Roman" w:hAnsi="Times New Roman" w:eastAsia="仿宋_GB2312" w:cs="仿宋_GB2312"/>
          <w:kern w:val="0"/>
          <w:sz w:val="30"/>
          <w:szCs w:val="30"/>
        </w:rPr>
        <w:t>其中：</w:t>
      </w:r>
    </w:p>
    <w:p w14:paraId="2C02280D">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3,402,465.60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基本工资、津贴补贴、绩效工资、机关事业单位基本养老保险缴费、职业年金缴费、职工基本医疗保险缴费、其他社会保障缴费、住房公积金、其他工资福利支出、退休费和奖励金。</w:t>
      </w:r>
    </w:p>
    <w:p w14:paraId="4949524A">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91,980.00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办公费、手续费、维修（护）费和工会经费。</w:t>
      </w:r>
    </w:p>
    <w:p w14:paraId="7C6910C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6FB2B1A7">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天津市滨海新区杨家泊镇社区卫生服务中心2023年度无政府性基金预算财政拨款收入、支出和结转结余。</w:t>
      </w:r>
      <w:r>
        <w:rPr>
          <w:rFonts w:hint="eastAsia" w:ascii="Times New Roman" w:hAnsi="Times New Roman" w:eastAsia="仿宋_GB2312" w:cs="仿宋_GB2312"/>
          <w:sz w:val="30"/>
          <w:szCs w:val="30"/>
        </w:rPr>
        <w:tab/>
      </w:r>
    </w:p>
    <w:p w14:paraId="4CE907D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3679B2A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天津市滨海新区杨家泊镇社区卫生服务中心2023年度无国有资本经营预算财政拨款收入、支出和结转结余。</w:t>
      </w:r>
    </w:p>
    <w:p w14:paraId="3191E29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05EC70C1">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6644F57A">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bookmarkStart w:id="0" w:name="_GoBack"/>
      <w:bookmarkEnd w:id="0"/>
      <w:r>
        <w:rPr>
          <w:rFonts w:hint="eastAsia" w:ascii="Times New Roman" w:hAnsi="Times New Roman" w:eastAsia="仿宋_GB2312" w:cs="仿宋_GB2312"/>
          <w:sz w:val="30"/>
          <w:szCs w:val="30"/>
        </w:rPr>
        <w:t>经费。</w:t>
      </w:r>
    </w:p>
    <w:p w14:paraId="2DE64D8A">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7B87528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157D85DB">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59C3BF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7E648F0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7CF3E402">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08D391D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397359B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284D199D">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3A0530D4">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0941172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1394DE8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天津市滨海新区杨家泊镇社区卫生服务中心2023年度无机关运行经费。</w:t>
      </w:r>
    </w:p>
    <w:p w14:paraId="696C45E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70314658">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天津市滨海新区杨家泊镇社区卫生服务中心2023年度无政府采购支出。</w:t>
      </w:r>
    </w:p>
    <w:p w14:paraId="2B7C776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6AF3167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天津市滨海新区杨家泊镇社区卫生服务中心2023年度无国有资产占有使用情况。</w:t>
      </w:r>
    </w:p>
    <w:p w14:paraId="1205E78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31DAC1C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根据预算绩效管理要求，天津市滨海新区杨家泊镇社区卫生服务中心2023年度已对23个市级项目开展绩效自评，涉及金额2,878,149.20元，自评结果已随部门决算一并公开。</w:t>
      </w:r>
    </w:p>
    <w:p w14:paraId="2E3B6E1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2C0A995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天津市滨海新区杨家泊镇社区卫生服务中心不属于乡、镇、街级单位，不涉及公开2023年度教育、医疗卫生、社会保障和就业、住房保障、涉农补贴等民生支出情况。</w:t>
      </w:r>
    </w:p>
    <w:p w14:paraId="459E25AC">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4A9AC587">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0C465DCC">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1E758F6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2B1F73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5566A94A">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831F45-269E-41EE-84CD-AEB66DFD8C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52B2568-B631-4951-AFAC-BAEE107ACE0A}"/>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BA6DA77-4A91-4AC0-8E7C-BF5D4CB1F44B}"/>
  </w:font>
  <w:font w:name="楷体">
    <w:panose1 w:val="02010609060101010101"/>
    <w:charset w:val="86"/>
    <w:family w:val="modern"/>
    <w:pitch w:val="default"/>
    <w:sig w:usb0="800002BF" w:usb1="38CF7CFA" w:usb2="00000016" w:usb3="00000000" w:csb0="00040001" w:csb1="00000000"/>
    <w:embedRegular r:id="rId4" w:fontKey="{2E42F570-2357-49ED-B209-452D3159F635}"/>
  </w:font>
  <w:font w:name="楷体_GB2312">
    <w:panose1 w:val="02010609030101010101"/>
    <w:charset w:val="86"/>
    <w:family w:val="modern"/>
    <w:pitch w:val="default"/>
    <w:sig w:usb0="00000001" w:usb1="080E0000" w:usb2="00000000" w:usb3="00000000" w:csb0="00040000" w:csb1="00000000"/>
    <w:embedRegular r:id="rId5" w:fontKey="{01C17310-62CE-45C1-B7FB-EE46D507DC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6A094D"/>
    <w:rsid w:val="00013A12"/>
    <w:rsid w:val="00015DB3"/>
    <w:rsid w:val="0002687D"/>
    <w:rsid w:val="00047C6F"/>
    <w:rsid w:val="000528EE"/>
    <w:rsid w:val="000719FD"/>
    <w:rsid w:val="00080A5F"/>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40B98"/>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047311"/>
    <w:rsid w:val="0B1428B6"/>
    <w:rsid w:val="0B2716A6"/>
    <w:rsid w:val="0B2E72C7"/>
    <w:rsid w:val="0C411F0C"/>
    <w:rsid w:val="0CDD71F7"/>
    <w:rsid w:val="0D664210"/>
    <w:rsid w:val="0DA7267B"/>
    <w:rsid w:val="0DFB4FC0"/>
    <w:rsid w:val="0E267459"/>
    <w:rsid w:val="0EBB5316"/>
    <w:rsid w:val="0F4936D8"/>
    <w:rsid w:val="0FC42B69"/>
    <w:rsid w:val="0FF22FB9"/>
    <w:rsid w:val="118916FB"/>
    <w:rsid w:val="12100618"/>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43E6B0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855E37"/>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1B00003"/>
    <w:rsid w:val="5236167C"/>
    <w:rsid w:val="52A37398"/>
    <w:rsid w:val="53C102A5"/>
    <w:rsid w:val="54380029"/>
    <w:rsid w:val="54A61249"/>
    <w:rsid w:val="54F16968"/>
    <w:rsid w:val="55AC416B"/>
    <w:rsid w:val="564C0516"/>
    <w:rsid w:val="56991CEE"/>
    <w:rsid w:val="5713248B"/>
    <w:rsid w:val="57833AC4"/>
    <w:rsid w:val="578735B4"/>
    <w:rsid w:val="58C3061C"/>
    <w:rsid w:val="58E93DFA"/>
    <w:rsid w:val="599E4BE5"/>
    <w:rsid w:val="5A1C0F73"/>
    <w:rsid w:val="5A964C59"/>
    <w:rsid w:val="5B6B2F9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4275</Words>
  <Characters>4941</Characters>
  <Lines>36</Lines>
  <Paragraphs>10</Paragraphs>
  <TotalTime>0</TotalTime>
  <ScaleCrop>false</ScaleCrop>
  <LinksUpToDate>false</LinksUpToDate>
  <CharactersWithSpaces>4974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S.mile</cp:lastModifiedBy>
  <dcterms:modified xsi:type="dcterms:W3CDTF">2025-11-03T08:22:54Z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A44E0A178634409BBBA50D5636087390_13</vt:lpwstr>
  </property>
  <property fmtid="{D5CDD505-2E9C-101B-9397-08002B2CF9AE}" pid="4" name="KSOTemplateDocerSaveRecord">
    <vt:lpwstr>eyJoZGlkIjoiMzEwNTM5NzYwMDRjMzkwZTVkZjY2ODkwMGIxNGU0OTUiLCJ1c2VySWQiOiIyNDA2NzM0NzUifQ==</vt:lpwstr>
  </property>
</Properties>
</file>