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D7212">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3FDB6CFF">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1C0EF508">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4C9BA9D5">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6CEAEF3E">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3927D3D4">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0488AC37">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204DCF45">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71E02CD1">
      <w:pPr>
        <w:autoSpaceDE w:val="0"/>
        <w:autoSpaceDN w:val="0"/>
        <w:adjustRightInd w:val="0"/>
        <w:jc w:val="center"/>
        <w:rPr>
          <w:rFonts w:ascii="Times New Roman" w:hAnsi="Times New Roman" w:eastAsia="方正小标宋简体" w:cs="方正小标宋简体"/>
          <w:kern w:val="0"/>
          <w:sz w:val="48"/>
          <w:szCs w:val="48"/>
          <w:highlight w:val="none"/>
          <w:lang w:val="zh-CN"/>
        </w:rPr>
      </w:pPr>
      <w:r>
        <w:rPr>
          <w:rFonts w:hint="eastAsia" w:ascii="Times New Roman" w:hAnsi="Times New Roman" w:eastAsia="方正小标宋简体" w:cs="方正小标宋简体"/>
          <w:kern w:val="0"/>
          <w:sz w:val="48"/>
          <w:szCs w:val="48"/>
          <w:highlight w:val="none"/>
          <w:lang w:val="zh-CN"/>
        </w:rPr>
        <w:t>天津市滨海新区急救分中心2023年度部门决算</w:t>
      </w:r>
    </w:p>
    <w:p w14:paraId="7402602D">
      <w:pPr>
        <w:autoSpaceDE w:val="0"/>
        <w:autoSpaceDN w:val="0"/>
        <w:adjustRightInd w:val="0"/>
        <w:spacing w:line="580" w:lineRule="exact"/>
        <w:jc w:val="center"/>
        <w:rPr>
          <w:rFonts w:ascii="Times New Roman" w:hAnsi="Times New Roman" w:eastAsia="黑体" w:cs="黑体"/>
          <w:sz w:val="30"/>
          <w:szCs w:val="30"/>
          <w:highlight w:val="none"/>
        </w:rPr>
      </w:pPr>
    </w:p>
    <w:p w14:paraId="780DDB59">
      <w:pPr>
        <w:autoSpaceDE w:val="0"/>
        <w:autoSpaceDN w:val="0"/>
        <w:adjustRightInd w:val="0"/>
        <w:spacing w:line="580" w:lineRule="exact"/>
        <w:jc w:val="center"/>
        <w:rPr>
          <w:rFonts w:ascii="Times New Roman" w:hAnsi="Times New Roman" w:eastAsia="黑体" w:cs="黑体"/>
          <w:sz w:val="30"/>
          <w:szCs w:val="30"/>
          <w:highlight w:val="none"/>
        </w:rPr>
      </w:pPr>
    </w:p>
    <w:p w14:paraId="7E9B1E9F">
      <w:pPr>
        <w:autoSpaceDE w:val="0"/>
        <w:autoSpaceDN w:val="0"/>
        <w:adjustRightInd w:val="0"/>
        <w:spacing w:line="580" w:lineRule="exact"/>
        <w:jc w:val="center"/>
        <w:rPr>
          <w:rFonts w:ascii="Times New Roman" w:hAnsi="Times New Roman" w:eastAsia="黑体" w:cs="黑体"/>
          <w:sz w:val="30"/>
          <w:szCs w:val="30"/>
          <w:highlight w:val="none"/>
        </w:rPr>
      </w:pPr>
    </w:p>
    <w:p w14:paraId="7FA06D71">
      <w:pPr>
        <w:autoSpaceDE w:val="0"/>
        <w:autoSpaceDN w:val="0"/>
        <w:adjustRightInd w:val="0"/>
        <w:spacing w:line="580" w:lineRule="exact"/>
        <w:jc w:val="center"/>
        <w:rPr>
          <w:rFonts w:ascii="Times New Roman" w:hAnsi="Times New Roman" w:eastAsia="黑体" w:cs="黑体"/>
          <w:sz w:val="30"/>
          <w:szCs w:val="30"/>
          <w:highlight w:val="none"/>
        </w:rPr>
      </w:pPr>
    </w:p>
    <w:p w14:paraId="63D9E6F6">
      <w:pPr>
        <w:autoSpaceDE w:val="0"/>
        <w:autoSpaceDN w:val="0"/>
        <w:adjustRightInd w:val="0"/>
        <w:spacing w:line="580" w:lineRule="exact"/>
        <w:jc w:val="center"/>
        <w:rPr>
          <w:rFonts w:ascii="Times New Roman" w:hAnsi="Times New Roman" w:eastAsia="黑体" w:cs="黑体"/>
          <w:sz w:val="30"/>
          <w:szCs w:val="30"/>
          <w:highlight w:val="none"/>
        </w:rPr>
      </w:pPr>
    </w:p>
    <w:p w14:paraId="50E2CAE1">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ascii="Times New Roman" w:hAnsi="Times New Roman" w:eastAsia="黑体" w:cs="黑体"/>
          <w:sz w:val="30"/>
          <w:szCs w:val="30"/>
          <w:highlight w:val="none"/>
        </w:rPr>
        <w:br w:type="page"/>
      </w:r>
    </w:p>
    <w:p w14:paraId="2ACA3550">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hint="eastAsia" w:ascii="Times New Roman" w:hAnsi="Times New Roman" w:eastAsia="黑体" w:cs="黑体"/>
          <w:kern w:val="0"/>
          <w:sz w:val="44"/>
          <w:szCs w:val="44"/>
          <w:highlight w:val="none"/>
        </w:rPr>
        <w:t>目</w:t>
      </w:r>
      <w:r>
        <w:rPr>
          <w:rFonts w:hint="eastAsia" w:ascii="Times New Roman" w:hAnsi="Times New Roman" w:eastAsia="黑体" w:cs="黑体"/>
          <w:kern w:val="0"/>
          <w:sz w:val="44"/>
          <w:szCs w:val="44"/>
          <w:highlight w:val="none"/>
          <w:lang w:val="en-US" w:eastAsia="zh-CN"/>
        </w:rPr>
        <w:t xml:space="preserve">   </w:t>
      </w:r>
      <w:r>
        <w:rPr>
          <w:rFonts w:hint="eastAsia" w:ascii="Times New Roman" w:hAnsi="Times New Roman" w:eastAsia="黑体" w:cs="黑体"/>
          <w:kern w:val="0"/>
          <w:sz w:val="44"/>
          <w:szCs w:val="44"/>
          <w:highlight w:val="none"/>
        </w:rPr>
        <w:t>录</w:t>
      </w:r>
    </w:p>
    <w:p w14:paraId="60AD765B">
      <w:pPr>
        <w:autoSpaceDE w:val="0"/>
        <w:autoSpaceDN w:val="0"/>
        <w:adjustRightInd w:val="0"/>
        <w:spacing w:line="600" w:lineRule="exact"/>
        <w:jc w:val="left"/>
        <w:rPr>
          <w:rFonts w:ascii="Times New Roman" w:hAnsi="Times New Roman" w:eastAsia="黑体" w:cs="黑体"/>
          <w:kern w:val="0"/>
          <w:sz w:val="30"/>
          <w:szCs w:val="30"/>
          <w:highlight w:val="none"/>
        </w:rPr>
      </w:pPr>
    </w:p>
    <w:p w14:paraId="5F61A128">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第一部分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rPr>
        <w:t>概</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rPr>
        <w:t>况</w:t>
      </w:r>
    </w:p>
    <w:p w14:paraId="5E2FA937">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一、主要职责</w:t>
      </w:r>
    </w:p>
    <w:p w14:paraId="0841633A">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二、机构设置</w:t>
      </w:r>
    </w:p>
    <w:p w14:paraId="79B31430">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第二部分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eastAsia="zh-CN"/>
        </w:rPr>
        <w:t>2023</w:t>
      </w:r>
      <w:r>
        <w:rPr>
          <w:rFonts w:hint="eastAsia" w:ascii="Times New Roman" w:hAnsi="Times New Roman" w:eastAsia="方正小标宋简体" w:cs="方正小标宋简体"/>
          <w:kern w:val="0"/>
          <w:sz w:val="30"/>
          <w:szCs w:val="30"/>
          <w:highlight w:val="none"/>
        </w:rPr>
        <w:t>年度部门决算表</w:t>
      </w:r>
    </w:p>
    <w:p w14:paraId="49F5DEBF">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一、收入支出决算总表</w:t>
      </w:r>
    </w:p>
    <w:p w14:paraId="63D8EA28">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二、收入决算表（按功能分类列示）</w:t>
      </w:r>
    </w:p>
    <w:p w14:paraId="74C90A4B">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三、收入决算表（按单位列示）</w:t>
      </w:r>
    </w:p>
    <w:p w14:paraId="4C364163">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四、支出决算表</w:t>
      </w:r>
    </w:p>
    <w:p w14:paraId="03568714">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五、财政拨款收入支出决算总表</w:t>
      </w:r>
    </w:p>
    <w:p w14:paraId="0F83B3FC">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六、一般公共预算财政拨款支出决算表</w:t>
      </w:r>
    </w:p>
    <w:p w14:paraId="61C65F7C">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七、一般公共预算财政拨款基本支出决算表</w:t>
      </w:r>
    </w:p>
    <w:p w14:paraId="16DD5215">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八、政府性基金预算财政拨款收入支出决算表</w:t>
      </w:r>
    </w:p>
    <w:p w14:paraId="2FB7D1E5">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九、国有资本经营预算财政拨款收入支出决算表</w:t>
      </w:r>
    </w:p>
    <w:p w14:paraId="69DB9D0C">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经费支出决算表</w:t>
      </w:r>
    </w:p>
    <w:p w14:paraId="599E52CA">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十一、项目支出决算表</w:t>
      </w:r>
    </w:p>
    <w:p w14:paraId="271456AF">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十二、关于空表的说明</w:t>
      </w:r>
    </w:p>
    <w:p w14:paraId="6195D723">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第三部分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eastAsia="zh-CN"/>
        </w:rPr>
        <w:t>2023</w:t>
      </w:r>
      <w:r>
        <w:rPr>
          <w:rFonts w:hint="eastAsia" w:ascii="Times New Roman" w:hAnsi="Times New Roman" w:eastAsia="方正小标宋简体" w:cs="方正小标宋简体"/>
          <w:kern w:val="0"/>
          <w:sz w:val="30"/>
          <w:szCs w:val="30"/>
          <w:highlight w:val="none"/>
        </w:rPr>
        <w:t>年度部门决算情况说明</w:t>
      </w:r>
    </w:p>
    <w:p w14:paraId="59022E23">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一、收支决算总体情况说明</w:t>
      </w:r>
    </w:p>
    <w:p w14:paraId="4BE9F942">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二、收入决算情况说明</w:t>
      </w:r>
    </w:p>
    <w:p w14:paraId="21639FE0">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三、支出决算情况说明</w:t>
      </w:r>
    </w:p>
    <w:p w14:paraId="1DBCAB40">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四、财政拨款收支决算总体情况说明</w:t>
      </w:r>
    </w:p>
    <w:p w14:paraId="53044C17">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五、一般公共预算财政拨款支出决算情况说明</w:t>
      </w:r>
    </w:p>
    <w:p w14:paraId="7424B54B">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六、一般公共预算财政拨款基本支出决算情况说明</w:t>
      </w:r>
    </w:p>
    <w:p w14:paraId="0F1BB026">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七、政府性基金预算财政拨款收支决算情况说明</w:t>
      </w:r>
    </w:p>
    <w:p w14:paraId="56421C15">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八、国有资本经营预算财政拨款收支决算情况说明</w:t>
      </w:r>
    </w:p>
    <w:p w14:paraId="68418B64">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九、财政拨款</w:t>
      </w:r>
      <w:r>
        <w:rPr>
          <w:rFonts w:ascii="Times New Roman" w:hAnsi="Times New Roman" w:eastAsia="仿宋_GB2312" w:cs="仿宋_GB2312"/>
          <w:kern w:val="0"/>
          <w:sz w:val="30"/>
          <w:szCs w:val="30"/>
          <w:highlight w:val="none"/>
        </w:rPr>
        <w:t>“</w:t>
      </w:r>
      <w:bookmarkStart w:id="0" w:name="_GoBack"/>
      <w:r>
        <w:rPr>
          <w:rFonts w:hint="eastAsia" w:ascii="Times New Roman" w:hAnsi="Times New Roman" w:eastAsia="仿宋_GB2312" w:cs="仿宋_GB2312"/>
          <w:kern w:val="0"/>
          <w:sz w:val="30"/>
          <w:szCs w:val="30"/>
          <w:highlight w:val="none"/>
        </w:rPr>
        <w:t>三公</w:t>
      </w:r>
      <w:bookmarkEnd w:id="0"/>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经费支出决算情况说明</w:t>
      </w:r>
    </w:p>
    <w:p w14:paraId="1FE11BF0">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十、机关运行经费支出情况说明</w:t>
      </w:r>
    </w:p>
    <w:p w14:paraId="46A16B93">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十一、政府采购支出情况说明</w:t>
      </w:r>
    </w:p>
    <w:p w14:paraId="0016B472">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十二、国有资产占有使用情况说明</w:t>
      </w:r>
    </w:p>
    <w:p w14:paraId="4C826C1C">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十三、预算绩效情况说明</w:t>
      </w:r>
    </w:p>
    <w:p w14:paraId="1678808F">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lang w:val="en"/>
        </w:rPr>
      </w:pPr>
      <w:r>
        <w:rPr>
          <w:rFonts w:hint="eastAsia" w:ascii="Times New Roman" w:hAnsi="Times New Roman" w:eastAsia="仿宋_GB2312" w:cs="仿宋_GB2312"/>
          <w:kern w:val="0"/>
          <w:sz w:val="30"/>
          <w:szCs w:val="30"/>
          <w:highlight w:val="none"/>
        </w:rPr>
        <w:t>十四、教育、医疗卫生、社会保障和就业、住房保障、涉农补贴等民生支出情况说明</w:t>
      </w:r>
    </w:p>
    <w:p w14:paraId="0246FA72">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lang w:val="en"/>
        </w:rPr>
      </w:pPr>
      <w:r>
        <w:rPr>
          <w:rFonts w:hint="eastAsia" w:ascii="Times New Roman" w:hAnsi="Times New Roman" w:eastAsia="方正小标宋简体" w:cs="方正小标宋简体"/>
          <w:kern w:val="0"/>
          <w:sz w:val="30"/>
          <w:szCs w:val="30"/>
          <w:highlight w:val="none"/>
          <w:lang w:val="en"/>
        </w:rPr>
        <w:t>第四部分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val="en"/>
        </w:rPr>
        <w:t>名词解释</w:t>
      </w:r>
    </w:p>
    <w:p w14:paraId="379E8165">
      <w:pPr>
        <w:autoSpaceDE w:val="0"/>
        <w:autoSpaceDN w:val="0"/>
        <w:adjustRightInd w:val="0"/>
        <w:spacing w:line="700" w:lineRule="exact"/>
        <w:jc w:val="left"/>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14:paraId="598784AB">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第一部分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rPr>
        <w:t>概</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rPr>
        <w:t>况</w:t>
      </w:r>
    </w:p>
    <w:p w14:paraId="796657DF">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一、主要职责</w:t>
      </w:r>
    </w:p>
    <w:p w14:paraId="299D4129">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日常急、危、重伤病员的院前急救和转送院；重特大突发事件紧急医疗救援；大型社会活动应急保障。</w:t>
      </w:r>
    </w:p>
    <w:p w14:paraId="691EF07D">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二、机构设置</w:t>
      </w:r>
    </w:p>
    <w:p w14:paraId="1E66D6ED">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滨海新区急救分中心内设8个党建工作科、综合办公室、财务科、人事科、通讯调度科、急救管理科、车辆管理科、后勤保障科；下辖0个预算单位。纳入天津市滨海新区急救分中心2023年度部门决算编制范围的单位包括：</w:t>
      </w:r>
    </w:p>
    <w:p w14:paraId="4362F61E">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天津市滨海新区急救分中心。</w:t>
      </w:r>
    </w:p>
    <w:p w14:paraId="68CDF770">
      <w:pPr>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14:paraId="4A7E0EA1">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第二部分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lang w:eastAsia="zh-CN"/>
        </w:rPr>
        <w:t>2023</w:t>
      </w:r>
      <w:r>
        <w:rPr>
          <w:rFonts w:hint="eastAsia" w:ascii="Times New Roman" w:hAnsi="Times New Roman" w:eastAsia="方正小标宋简体" w:cs="方正小标宋简体"/>
          <w:kern w:val="44"/>
          <w:sz w:val="44"/>
          <w:szCs w:val="44"/>
          <w:highlight w:val="none"/>
        </w:rPr>
        <w:t>年度部门决算表</w:t>
      </w:r>
    </w:p>
    <w:p w14:paraId="726547F2">
      <w:pPr>
        <w:autoSpaceDE w:val="0"/>
        <w:autoSpaceDN w:val="0"/>
        <w:adjustRightInd w:val="0"/>
        <w:spacing w:line="600" w:lineRule="exact"/>
        <w:jc w:val="left"/>
        <w:rPr>
          <w:rFonts w:ascii="Times New Roman" w:hAnsi="Times New Roman" w:eastAsia="方正小标宋简体" w:cs="Times New Roman"/>
          <w:kern w:val="0"/>
          <w:sz w:val="24"/>
          <w:szCs w:val="24"/>
          <w:highlight w:val="none"/>
        </w:rPr>
      </w:pPr>
    </w:p>
    <w:p w14:paraId="158EB64D">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一、《收入支出决算总表》</w:t>
      </w:r>
    </w:p>
    <w:p w14:paraId="6C1322E1">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二、《收入决算表（按功能分类列示）》</w:t>
      </w:r>
    </w:p>
    <w:p w14:paraId="40BC614A">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三、《收入决算表（按单位列示）》</w:t>
      </w:r>
    </w:p>
    <w:p w14:paraId="6BB6F7D0">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四、《支出决算表》</w:t>
      </w:r>
    </w:p>
    <w:p w14:paraId="6F949CC6">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五、《财政拨款收入支出决算总表》</w:t>
      </w:r>
    </w:p>
    <w:p w14:paraId="5F733EB2">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六、《一般公共预算财政拨款支出决算表》</w:t>
      </w:r>
    </w:p>
    <w:p w14:paraId="56463218">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七、《一般公共预算财政拨款基本支出决算表》</w:t>
      </w:r>
    </w:p>
    <w:p w14:paraId="6E490CBD">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八、《政府性基金预算财政拨款收入支出决算表》</w:t>
      </w:r>
    </w:p>
    <w:p w14:paraId="57821E73">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九、《国有资本经营预算财政拨款收入支出决算表》</w:t>
      </w:r>
    </w:p>
    <w:p w14:paraId="4E845FF2">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十、《财政拨款</w:t>
      </w:r>
      <w:r>
        <w:rPr>
          <w:rFonts w:ascii="Times New Roman" w:hAnsi="Times New Roman" w:eastAsia="黑体" w:cs="黑体"/>
          <w:kern w:val="0"/>
          <w:sz w:val="30"/>
          <w:szCs w:val="30"/>
          <w:highlight w:val="none"/>
        </w:rPr>
        <w:t>“</w:t>
      </w:r>
      <w:r>
        <w:rPr>
          <w:rFonts w:hint="eastAsia" w:ascii="Times New Roman" w:hAnsi="Times New Roman" w:eastAsia="黑体" w:cs="黑体"/>
          <w:kern w:val="0"/>
          <w:sz w:val="30"/>
          <w:szCs w:val="30"/>
          <w:highlight w:val="none"/>
        </w:rPr>
        <w:t>三公</w:t>
      </w:r>
      <w:r>
        <w:rPr>
          <w:rFonts w:ascii="Times New Roman" w:hAnsi="Times New Roman" w:eastAsia="黑体" w:cs="黑体"/>
          <w:kern w:val="0"/>
          <w:sz w:val="30"/>
          <w:szCs w:val="30"/>
          <w:highlight w:val="none"/>
        </w:rPr>
        <w:t>”</w:t>
      </w:r>
      <w:r>
        <w:rPr>
          <w:rFonts w:hint="eastAsia" w:ascii="Times New Roman" w:hAnsi="Times New Roman" w:eastAsia="黑体" w:cs="黑体"/>
          <w:kern w:val="0"/>
          <w:sz w:val="30"/>
          <w:szCs w:val="30"/>
          <w:highlight w:val="none"/>
        </w:rPr>
        <w:t>经费支出决算表》</w:t>
      </w:r>
    </w:p>
    <w:p w14:paraId="5AAB8E50">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十一、《项目支出决算表》</w:t>
      </w:r>
    </w:p>
    <w:p w14:paraId="3EFCE67E">
      <w:pPr>
        <w:autoSpaceDE w:val="0"/>
        <w:autoSpaceDN w:val="0"/>
        <w:adjustRightInd w:val="0"/>
        <w:spacing w:line="800" w:lineRule="exact"/>
        <w:jc w:val="left"/>
        <w:rPr>
          <w:rFonts w:ascii="Times New Roman" w:hAnsi="Times New Roman" w:eastAsia="楷体" w:cs="楷体"/>
          <w:kern w:val="0"/>
          <w:sz w:val="30"/>
          <w:szCs w:val="30"/>
          <w:highlight w:val="none"/>
        </w:rPr>
      </w:pPr>
      <w:r>
        <w:rPr>
          <w:rFonts w:hint="eastAsia" w:ascii="Times New Roman" w:hAnsi="Times New Roman" w:eastAsia="楷体" w:cs="楷体"/>
          <w:kern w:val="0"/>
          <w:sz w:val="30"/>
          <w:szCs w:val="30"/>
          <w:highlight w:val="none"/>
        </w:rPr>
        <w:t>注：以上决算公开表均作为附表，附于决算公开说明文档后。</w:t>
      </w:r>
    </w:p>
    <w:p w14:paraId="2602B020">
      <w:pPr>
        <w:autoSpaceDE w:val="0"/>
        <w:autoSpaceDN w:val="0"/>
        <w:adjustRightInd w:val="0"/>
        <w:spacing w:line="600" w:lineRule="exact"/>
        <w:jc w:val="left"/>
        <w:rPr>
          <w:rFonts w:ascii="Times New Roman" w:hAnsi="Times New Roman" w:eastAsia="黑体" w:cs="黑体"/>
          <w:b/>
          <w:bCs/>
          <w:kern w:val="0"/>
          <w:sz w:val="30"/>
          <w:szCs w:val="30"/>
          <w:highlight w:val="none"/>
        </w:rPr>
      </w:pPr>
      <w:r>
        <w:rPr>
          <w:rFonts w:ascii="Times New Roman" w:hAnsi="Times New Roman" w:eastAsia="楷体" w:cs="Times New Roman"/>
          <w:kern w:val="0"/>
          <w:sz w:val="24"/>
          <w:szCs w:val="24"/>
          <w:highlight w:val="none"/>
        </w:rPr>
        <w:br w:type="page"/>
      </w:r>
      <w:r>
        <w:rPr>
          <w:rFonts w:hint="eastAsia" w:ascii="Times New Roman" w:hAnsi="Times New Roman" w:eastAsia="黑体" w:cs="黑体"/>
          <w:b/>
          <w:bCs/>
          <w:kern w:val="0"/>
          <w:sz w:val="30"/>
          <w:szCs w:val="30"/>
          <w:highlight w:val="none"/>
        </w:rPr>
        <w:t>十二、关于空表的说明</w:t>
      </w:r>
    </w:p>
    <w:p w14:paraId="265C3003">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1.天津市滨海新区急救分中心2023年度政府性基金预算财政拨款收入支出决算表为空表。</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2.天津市滨海新区急救分中心2023年度国有资本经营预算财政拨款收入支出决算表为空表。</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3.天津市滨海新区急救分中心2023年度财政拨款“三公”经费支出决算表为空表。</w:t>
      </w:r>
    </w:p>
    <w:p w14:paraId="55A1CD61">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p>
    <w:p w14:paraId="43FDA939">
      <w:pPr>
        <w:keepNext/>
        <w:keepLines/>
        <w:autoSpaceDE w:val="0"/>
        <w:autoSpaceDN w:val="0"/>
        <w:adjustRightInd w:val="0"/>
        <w:spacing w:line="600" w:lineRule="exact"/>
        <w:ind w:firstLine="600"/>
        <w:jc w:val="left"/>
        <w:outlineLvl w:val="1"/>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第三部分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lang w:eastAsia="zh-CN"/>
        </w:rPr>
        <w:t>2023</w:t>
      </w:r>
      <w:r>
        <w:rPr>
          <w:rFonts w:hint="eastAsia" w:ascii="Times New Roman" w:hAnsi="Times New Roman" w:eastAsia="方正小标宋简体" w:cs="方正小标宋简体"/>
          <w:kern w:val="44"/>
          <w:sz w:val="44"/>
          <w:szCs w:val="44"/>
          <w:highlight w:val="none"/>
        </w:rPr>
        <w:t>年度部门决算情况说明</w:t>
      </w:r>
    </w:p>
    <w:p w14:paraId="7FBF7773">
      <w:pPr>
        <w:autoSpaceDE w:val="0"/>
        <w:autoSpaceDN w:val="0"/>
        <w:adjustRightInd w:val="0"/>
        <w:spacing w:line="580" w:lineRule="exact"/>
        <w:ind w:firstLine="600"/>
        <w:jc w:val="left"/>
        <w:rPr>
          <w:rFonts w:ascii="Times New Roman" w:hAnsi="Times New Roman" w:eastAsia="黑体" w:cs="黑体"/>
          <w:sz w:val="30"/>
          <w:szCs w:val="30"/>
          <w:highlight w:val="none"/>
          <w:lang w:val="zh-CN"/>
        </w:rPr>
      </w:pPr>
    </w:p>
    <w:p w14:paraId="35FBD174">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一、收入支出决算总体情况说明</w:t>
      </w:r>
    </w:p>
    <w:p w14:paraId="5DBC9005">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val="zh-CN" w:eastAsia="zh-CN"/>
        </w:rPr>
        <w:t>天津市滨海新区急救分中心2023年度收入、支出决算总计</w:t>
      </w:r>
      <w:r>
        <w:rPr>
          <w:rFonts w:hint="eastAsia" w:ascii="Times New Roman" w:hAnsi="Times New Roman" w:eastAsia="仿宋_GB2312" w:cs="仿宋_GB2312"/>
          <w:sz w:val="30"/>
          <w:szCs w:val="30"/>
          <w:highlight w:val="none"/>
          <w:lang w:eastAsia="zh-CN"/>
        </w:rPr>
        <w:t>120,545,140.81元，与2022年度相比，收、支总计各增加16,190,897.42元，增长15.52%，</w:t>
      </w:r>
      <w:r>
        <w:rPr>
          <w:rFonts w:hint="eastAsia" w:ascii="Times New Roman" w:hAnsi="Times New Roman" w:eastAsia="仿宋_GB2312" w:cs="仿宋_GB2312"/>
          <w:sz w:val="30"/>
          <w:szCs w:val="30"/>
          <w:highlight w:val="none"/>
          <w:lang w:val="zh-CN" w:eastAsia="zh-CN"/>
        </w:rPr>
        <w:t>主要原因是</w:t>
      </w:r>
      <w:r>
        <w:rPr>
          <w:rFonts w:hint="eastAsia" w:ascii="Times New Roman" w:hAnsi="Times New Roman" w:eastAsia="仿宋_GB2312" w:cs="仿宋_GB2312"/>
          <w:sz w:val="30"/>
          <w:szCs w:val="30"/>
          <w:highlight w:val="none"/>
          <w:lang w:eastAsia="zh-CN"/>
        </w:rPr>
        <w:t>：疫情结束，业务量增加导致事业收入增加，追加疫情临时性工作补助导致财政拨款增加。</w:t>
      </w:r>
    </w:p>
    <w:p w14:paraId="46641357">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二、</w:t>
      </w:r>
      <w:r>
        <w:rPr>
          <w:rFonts w:hint="eastAsia" w:ascii="Times New Roman" w:hAnsi="Times New Roman" w:eastAsia="黑体" w:cs="黑体"/>
          <w:b/>
          <w:bCs/>
          <w:kern w:val="0"/>
          <w:sz w:val="30"/>
          <w:szCs w:val="30"/>
          <w:highlight w:val="none"/>
        </w:rPr>
        <w:t>收入决算情况</w:t>
      </w:r>
      <w:r>
        <w:rPr>
          <w:rFonts w:hint="eastAsia" w:ascii="Times New Roman" w:hAnsi="Times New Roman" w:eastAsia="黑体" w:cs="黑体"/>
          <w:b/>
          <w:bCs/>
          <w:kern w:val="0"/>
          <w:sz w:val="30"/>
          <w:szCs w:val="30"/>
          <w:highlight w:val="none"/>
          <w:lang w:val="zh-CN"/>
        </w:rPr>
        <w:t>说明</w:t>
      </w:r>
    </w:p>
    <w:p w14:paraId="16F522F6">
      <w:pPr>
        <w:autoSpaceDE w:val="0"/>
        <w:autoSpaceDN w:val="0"/>
        <w:adjustRightInd w:val="0"/>
        <w:spacing w:line="600" w:lineRule="exact"/>
        <w:ind w:firstLine="600"/>
        <w:jc w:val="both"/>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天津市滨海新区急救分中心</w:t>
      </w:r>
      <w:r>
        <w:rPr>
          <w:rFonts w:hint="eastAsia" w:ascii="Times New Roman" w:hAnsi="Times New Roman" w:eastAsia="仿宋_GB2312" w:cs="Times New Roman"/>
          <w:sz w:val="30"/>
          <w:szCs w:val="30"/>
          <w:highlight w:val="none"/>
          <w:lang w:eastAsia="zh-CN"/>
        </w:rPr>
        <w:t>2023</w:t>
      </w:r>
      <w:r>
        <w:rPr>
          <w:rFonts w:hint="eastAsia" w:ascii="Times New Roman" w:hAnsi="Times New Roman" w:eastAsia="仿宋_GB2312" w:cs="仿宋_GB2312"/>
          <w:sz w:val="30"/>
          <w:szCs w:val="30"/>
          <w:highlight w:val="none"/>
          <w:lang w:val="zh-CN"/>
        </w:rPr>
        <w:t>年度本年收入合计</w:t>
      </w:r>
      <w:r>
        <w:rPr>
          <w:rFonts w:hint="eastAsia" w:ascii="Times New Roman" w:hAnsi="Times New Roman" w:eastAsia="仿宋_GB2312" w:cs="Times New Roman"/>
          <w:sz w:val="30"/>
          <w:szCs w:val="30"/>
          <w:highlight w:val="none"/>
          <w:lang w:eastAsia="zh-CN"/>
        </w:rPr>
        <w:t>112,095,363.10</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eastAsia="zh-CN"/>
        </w:rPr>
        <w:t>增加7,765,909.72</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lang w:val="zh-CN"/>
        </w:rPr>
        <w:t>主要原因是</w:t>
      </w:r>
      <w:r>
        <w:rPr>
          <w:rFonts w:hint="eastAsia"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lang w:eastAsia="zh-CN"/>
        </w:rPr>
        <w:t>疫情结束，业务量增加导致事业收入增加，追加疫情临时性工作补助导致财政拨款增加。</w:t>
      </w:r>
    </w:p>
    <w:p w14:paraId="53BAA6D4">
      <w:pPr>
        <w:autoSpaceDE w:val="0"/>
        <w:autoSpaceDN w:val="0"/>
        <w:adjustRightInd w:val="0"/>
        <w:spacing w:line="600" w:lineRule="exact"/>
        <w:ind w:firstLine="600"/>
        <w:jc w:val="left"/>
        <w:rPr>
          <w:rFonts w:hint="eastAsia" w:ascii="Times New Roman" w:hAnsi="Times New Roman" w:eastAsia="宋体" w:cs="Times New Roman"/>
          <w:sz w:val="30"/>
          <w:szCs w:val="30"/>
          <w:highlight w:val="none"/>
          <w:lang w:eastAsia="zh-CN"/>
        </w:rPr>
      </w:pPr>
      <w:r>
        <w:rPr>
          <w:rFonts w:hint="eastAsia" w:ascii="Times New Roman" w:hAnsi="Times New Roman" w:eastAsia="仿宋_GB2312" w:cs="仿宋_GB2312"/>
          <w:sz w:val="30"/>
          <w:szCs w:val="30"/>
          <w:highlight w:val="none"/>
        </w:rPr>
        <w:t>其中：</w:t>
      </w:r>
      <w:r>
        <w:rPr>
          <w:rFonts w:ascii="Times New Roman" w:hAnsi="Times New Roman" w:eastAsia="仿宋_GB2312" w:cs="仿宋_GB2312"/>
          <w:sz w:val="30"/>
          <w:szCs w:val="30"/>
          <w:highlight w:val="none"/>
          <w:lang w:val="zh-CN"/>
        </w:rPr>
        <w:t>一般公共预算财政拨款收入</w:t>
      </w:r>
      <w:r>
        <w:rPr>
          <w:rFonts w:hint="eastAsia" w:ascii="Times New Roman" w:hAnsi="Times New Roman" w:eastAsia="仿宋_GB2312" w:cs="Times New Roman"/>
          <w:sz w:val="30"/>
          <w:szCs w:val="30"/>
          <w:highlight w:val="none"/>
          <w:lang w:eastAsia="zh-CN"/>
        </w:rPr>
        <w:t>83,984,616.60</w:t>
      </w:r>
      <w:r>
        <w:rPr>
          <w:rFonts w:hint="eastAsia" w:ascii="Times New Roman" w:hAnsi="Times New Roman" w:eastAsia="仿宋_GB2312" w:cs="仿宋_GB2312"/>
          <w:sz w:val="30"/>
          <w:szCs w:val="30"/>
          <w:highlight w:val="none"/>
          <w:lang w:val="zh-CN"/>
        </w:rPr>
        <w:t>元</w:t>
      </w:r>
      <w:r>
        <w:rPr>
          <w:rFonts w:ascii="Times New Roman" w:hAnsi="Times New Roman" w:eastAsia="仿宋_GB2312" w:cs="仿宋_GB2312"/>
          <w:sz w:val="30"/>
          <w:szCs w:val="30"/>
          <w:highlight w:val="none"/>
          <w:lang w:val="zh-CN"/>
        </w:rPr>
        <w:t>，占</w:t>
      </w:r>
      <w:r>
        <w:rPr>
          <w:rFonts w:hint="eastAsia" w:ascii="Times New Roman" w:hAnsi="Times New Roman" w:eastAsia="仿宋_GB2312" w:cs="Times New Roman"/>
          <w:sz w:val="30"/>
          <w:szCs w:val="30"/>
          <w:highlight w:val="none"/>
          <w:lang w:eastAsia="zh-CN"/>
        </w:rPr>
        <w:t>74.92</w:t>
      </w:r>
      <w:r>
        <w:rPr>
          <w:rFonts w:hint="eastAsia" w:ascii="Times New Roman" w:hAnsi="Times New Roman" w:eastAsia="宋体" w:cs="Times New Roman"/>
          <w:sz w:val="30"/>
          <w:szCs w:val="30"/>
          <w:highlight w:val="none"/>
          <w:lang w:eastAsia="zh-CN"/>
        </w:rPr>
        <w:t>%；</w:t>
      </w:r>
    </w:p>
    <w:p w14:paraId="4F113C31">
      <w:pPr>
        <w:autoSpaceDE w:val="0"/>
        <w:autoSpaceDN w:val="0"/>
        <w:adjustRightInd w:val="0"/>
        <w:spacing w:line="600" w:lineRule="exact"/>
        <w:ind w:firstLine="600" w:firstLineChars="2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政府性基金预算财政拨款收入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p>
    <w:p w14:paraId="278C134B">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国有资本经营预算财政拨款收入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p>
    <w:p w14:paraId="278F6FEA">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财政专户管理资金收入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p>
    <w:p w14:paraId="4D62C93B">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事业收入</w:t>
      </w:r>
      <w:r>
        <w:rPr>
          <w:rFonts w:hint="eastAsia" w:ascii="Times New Roman" w:hAnsi="Times New Roman" w:eastAsia="仿宋_GB2312" w:cs="仿宋_GB2312"/>
          <w:sz w:val="30"/>
          <w:szCs w:val="30"/>
          <w:highlight w:val="none"/>
          <w:lang w:val="zh-CN"/>
        </w:rPr>
        <w:t>27,716,694.06元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24.73%；</w:t>
      </w:r>
    </w:p>
    <w:p w14:paraId="7FDE293F">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事业单位经营收入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p>
    <w:p w14:paraId="302E99B5">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上级补助收入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p>
    <w:p w14:paraId="33E2B0D1">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eastAsia="仿宋_GB2312"/>
          <w:sz w:val="30"/>
          <w:szCs w:val="30"/>
          <w:highlight w:val="none"/>
        </w:rPr>
        <w:t>附属单位上缴收入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p>
    <w:p w14:paraId="2809558C">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en-US" w:eastAsia="zh-CN"/>
        </w:rPr>
      </w:pPr>
      <w:r>
        <w:rPr>
          <w:rFonts w:ascii="Times New Roman" w:hAnsi="Times New Roman" w:eastAsia="仿宋_GB2312" w:cs="仿宋_GB2312"/>
          <w:sz w:val="30"/>
          <w:szCs w:val="30"/>
          <w:highlight w:val="none"/>
          <w:lang w:val="zh-CN"/>
        </w:rPr>
        <w:t>其他收入</w:t>
      </w:r>
      <w:r>
        <w:rPr>
          <w:rFonts w:hint="eastAsia" w:ascii="Times New Roman" w:hAnsi="Times New Roman" w:eastAsia="仿宋_GB2312" w:cs="仿宋_GB2312"/>
          <w:sz w:val="30"/>
          <w:szCs w:val="30"/>
          <w:highlight w:val="none"/>
          <w:lang w:val="zh-CN"/>
        </w:rPr>
        <w:t>394,052.44元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0.35%</w:t>
      </w:r>
      <w:r>
        <w:rPr>
          <w:rFonts w:hint="eastAsia" w:ascii="Times New Roman" w:hAnsi="Times New Roman" w:eastAsia="仿宋_GB2312" w:cs="仿宋_GB2312"/>
          <w:sz w:val="30"/>
          <w:szCs w:val="30"/>
          <w:highlight w:val="none"/>
          <w:lang w:val="zh-CN" w:eastAsia="zh-CN"/>
        </w:rPr>
        <w:t>。</w:t>
      </w:r>
    </w:p>
    <w:p w14:paraId="30C0169F">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三、支出</w:t>
      </w:r>
      <w:r>
        <w:rPr>
          <w:rFonts w:hint="eastAsia" w:ascii="Times New Roman" w:hAnsi="Times New Roman" w:eastAsia="黑体" w:cs="黑体"/>
          <w:b/>
          <w:bCs/>
          <w:kern w:val="0"/>
          <w:sz w:val="30"/>
          <w:szCs w:val="30"/>
          <w:highlight w:val="none"/>
        </w:rPr>
        <w:t>决算情况说明</w:t>
      </w:r>
    </w:p>
    <w:p w14:paraId="2A9D28C3">
      <w:pPr>
        <w:autoSpaceDE w:val="0"/>
        <w:autoSpaceDN w:val="0"/>
        <w:adjustRightInd w:val="0"/>
        <w:spacing w:line="580" w:lineRule="exact"/>
        <w:ind w:firstLine="600"/>
        <w:jc w:val="both"/>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天津市滨海新区急救分中心</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年度本年支出合计</w:t>
      </w:r>
      <w:r>
        <w:rPr>
          <w:rFonts w:hint="eastAsia" w:ascii="Times New Roman" w:hAnsi="Times New Roman" w:eastAsia="仿宋_GB2312" w:cs="仿宋_GB2312"/>
          <w:sz w:val="30"/>
          <w:szCs w:val="30"/>
          <w:highlight w:val="none"/>
          <w:lang w:eastAsia="zh-CN"/>
        </w:rPr>
        <w:t>112,081,629.08</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sz w:val="30"/>
          <w:szCs w:val="30"/>
          <w:highlight w:val="none"/>
          <w:lang w:eastAsia="zh-CN"/>
        </w:rPr>
        <w:t>9,251,321.06</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sz w:val="30"/>
          <w:szCs w:val="30"/>
          <w:highlight w:val="none"/>
          <w:lang w:val="zh-CN"/>
        </w:rPr>
        <w:t>主要原因是</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kern w:val="0"/>
          <w:sz w:val="30"/>
          <w:szCs w:val="30"/>
          <w:highlight w:val="none"/>
          <w:lang w:eastAsia="zh-CN"/>
        </w:rPr>
        <w:t>疫情结束，业务量增加导致业务增加，发放疫情临时性工作补助人员支出增加。</w:t>
      </w:r>
    </w:p>
    <w:p w14:paraId="6AE10372">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val="en-US" w:eastAsia="zh-CN"/>
        </w:rPr>
      </w:pPr>
      <w:r>
        <w:rPr>
          <w:rFonts w:hint="eastAsia" w:ascii="Times New Roman" w:hAnsi="Times New Roman" w:eastAsia="仿宋_GB2312" w:cs="仿宋_GB2312"/>
          <w:sz w:val="30"/>
          <w:szCs w:val="30"/>
          <w:highlight w:val="none"/>
        </w:rPr>
        <w:t>其中：</w:t>
      </w:r>
      <w:r>
        <w:rPr>
          <w:rFonts w:ascii="Times New Roman" w:hAnsi="Times New Roman" w:eastAsia="仿宋_GB2312" w:cs="仿宋_GB2312"/>
          <w:sz w:val="30"/>
          <w:szCs w:val="30"/>
          <w:highlight w:val="none"/>
        </w:rPr>
        <w:t>基本支出</w:t>
      </w:r>
      <w:r>
        <w:rPr>
          <w:rFonts w:hint="eastAsia" w:ascii="Times New Roman" w:hAnsi="Times New Roman" w:eastAsia="仿宋_GB2312" w:cs="仿宋_GB2312"/>
          <w:sz w:val="30"/>
          <w:szCs w:val="30"/>
          <w:highlight w:val="none"/>
          <w:lang w:eastAsia="zh-CN"/>
        </w:rPr>
        <w:t>69,236,829.08元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w:t>
      </w:r>
      <w:r>
        <w:rPr>
          <w:rFonts w:hint="eastAsia" w:ascii="Times New Roman" w:hAnsi="Times New Roman" w:eastAsia="仿宋_GB2312" w:cs="仿宋_GB2312"/>
          <w:sz w:val="30"/>
          <w:szCs w:val="30"/>
          <w:highlight w:val="none"/>
          <w:lang w:val="en-US" w:eastAsia="zh-CN"/>
        </w:rPr>
        <w:t>61.77</w:t>
      </w:r>
      <w:r>
        <w:rPr>
          <w:rFonts w:hint="eastAsia" w:ascii="Times New Roman" w:hAnsi="Times New Roman" w:eastAsia="仿宋_GB2312" w:cs="仿宋_GB2312"/>
          <w:sz w:val="30"/>
          <w:szCs w:val="30"/>
          <w:highlight w:val="none"/>
          <w:lang w:eastAsia="zh-CN"/>
        </w:rPr>
        <w:t>%；</w:t>
      </w:r>
    </w:p>
    <w:p w14:paraId="4DB6DC83">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项目支出</w:t>
      </w:r>
      <w:r>
        <w:rPr>
          <w:rFonts w:hint="eastAsia" w:ascii="Times New Roman" w:hAnsi="Times New Roman" w:eastAsia="仿宋_GB2312" w:cs="仿宋_GB2312"/>
          <w:sz w:val="30"/>
          <w:szCs w:val="30"/>
          <w:highlight w:val="none"/>
          <w:lang w:eastAsia="zh-CN"/>
        </w:rPr>
        <w:t>42,844,800.00元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占38.23%；</w:t>
      </w:r>
    </w:p>
    <w:p w14:paraId="0CE0F5AF">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上缴上级支出</w:t>
      </w:r>
      <w:r>
        <w:rPr>
          <w:rFonts w:hint="eastAsia" w:ascii="Times New Roman" w:hAnsi="Times New Roman" w:eastAsia="仿宋_GB2312" w:cs="仿宋_GB2312"/>
          <w:sz w:val="30"/>
          <w:szCs w:val="30"/>
          <w:highlight w:val="none"/>
          <w:lang w:eastAsia="zh-CN"/>
        </w:rPr>
        <w:t>0.00元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占0.0%；</w:t>
      </w:r>
    </w:p>
    <w:p w14:paraId="0D46BD23">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经营支出</w:t>
      </w:r>
      <w:r>
        <w:rPr>
          <w:rFonts w:hint="eastAsia" w:ascii="Times New Roman" w:hAnsi="Times New Roman" w:eastAsia="仿宋_GB2312" w:cs="仿宋_GB2312"/>
          <w:sz w:val="30"/>
          <w:szCs w:val="30"/>
          <w:highlight w:val="none"/>
          <w:lang w:eastAsia="zh-CN"/>
        </w:rPr>
        <w:t>0.00元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占0.0%；</w:t>
      </w:r>
    </w:p>
    <w:p w14:paraId="22B6D072">
      <w:pPr>
        <w:autoSpaceDE w:val="0"/>
        <w:autoSpaceDN w:val="0"/>
        <w:adjustRightInd w:val="0"/>
        <w:spacing w:line="580" w:lineRule="exact"/>
        <w:ind w:firstLine="600"/>
        <w:jc w:val="left"/>
        <w:rPr>
          <w:rFonts w:ascii="Times New Roman" w:hAnsi="Times New Roman" w:eastAsia="黑体" w:cs="黑体"/>
          <w:sz w:val="30"/>
          <w:szCs w:val="30"/>
          <w:highlight w:val="none"/>
          <w:lang w:val="zh-CN"/>
        </w:rPr>
      </w:pPr>
      <w:r>
        <w:rPr>
          <w:rFonts w:ascii="Times New Roman" w:hAnsi="Times New Roman" w:eastAsia="仿宋_GB2312" w:cs="仿宋_GB2312"/>
          <w:sz w:val="30"/>
          <w:szCs w:val="30"/>
          <w:highlight w:val="none"/>
        </w:rPr>
        <w:t>对附属单位补助支出</w:t>
      </w:r>
      <w:r>
        <w:rPr>
          <w:rFonts w:hint="eastAsia" w:ascii="Times New Roman" w:hAnsi="Times New Roman" w:eastAsia="仿宋_GB2312" w:cs="仿宋_GB2312"/>
          <w:sz w:val="30"/>
          <w:szCs w:val="30"/>
          <w:highlight w:val="none"/>
          <w:lang w:eastAsia="zh-CN"/>
        </w:rPr>
        <w:t>0.00元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占0.0%。</w:t>
      </w:r>
    </w:p>
    <w:p w14:paraId="58582E75">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四、财政拨款收支决算总体情况说明</w:t>
      </w:r>
    </w:p>
    <w:p w14:paraId="15DDFC38">
      <w:pPr>
        <w:autoSpaceDE w:val="0"/>
        <w:autoSpaceDN w:val="0"/>
        <w:adjustRightInd w:val="0"/>
        <w:spacing w:line="580" w:lineRule="exact"/>
        <w:ind w:firstLine="600"/>
        <w:jc w:val="left"/>
        <w:rPr>
          <w:rFonts w:ascii="Times New Roman" w:hAnsi="Times New Roman" w:eastAsia="仿宋_GB2312" w:cs="仿宋_GB2312"/>
          <w:sz w:val="30"/>
          <w:szCs w:val="30"/>
          <w:highlight w:val="none"/>
        </w:rPr>
      </w:pPr>
      <w:r>
        <w:rPr>
          <w:rFonts w:hint="eastAsia" w:ascii="Times New Roman" w:hAnsi="Times New Roman" w:eastAsia="仿宋_GB2312" w:cs="仿宋_GB2312"/>
          <w:sz w:val="30"/>
          <w:szCs w:val="30"/>
          <w:highlight w:val="none"/>
          <w:lang w:eastAsia="zh-CN"/>
        </w:rPr>
        <w:t>天津市滨海新区急救分中心</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年度财政拨款收入、支出决算总计</w:t>
      </w:r>
      <w:r>
        <w:rPr>
          <w:rFonts w:hint="eastAsia" w:ascii="Times New Roman" w:hAnsi="Times New Roman" w:eastAsia="仿宋_GB2312" w:cs="Times New Roman"/>
          <w:sz w:val="30"/>
          <w:szCs w:val="30"/>
          <w:highlight w:val="none"/>
          <w:lang w:val="zh-CN"/>
        </w:rPr>
        <w:t>83,984,616.60</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年度相比，财政拨款收、支总计各</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sz w:val="30"/>
          <w:szCs w:val="30"/>
          <w:highlight w:val="none"/>
          <w:lang w:eastAsia="zh-CN"/>
        </w:rPr>
        <w:t>2,650,407.90</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sz w:val="30"/>
          <w:szCs w:val="30"/>
          <w:highlight w:val="none"/>
          <w:lang w:val="en-US" w:eastAsia="zh-CN"/>
        </w:rPr>
        <w:t>增长</w:t>
      </w:r>
      <w:r>
        <w:rPr>
          <w:rFonts w:hint="eastAsia" w:ascii="Times New Roman" w:hAnsi="Times New Roman" w:eastAsia="仿宋_GB2312" w:cs="仿宋_GB2312"/>
          <w:sz w:val="30"/>
          <w:szCs w:val="30"/>
          <w:highlight w:val="none"/>
          <w:lang w:eastAsia="zh-CN"/>
        </w:rPr>
        <w:t>3.26</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val="zh-CN"/>
        </w:rPr>
        <w:t>主要原因是：</w:t>
      </w:r>
      <w:r>
        <w:rPr>
          <w:rFonts w:hint="eastAsia" w:ascii="Times New Roman" w:hAnsi="Times New Roman" w:eastAsia="仿宋_GB2312" w:cs="仿宋_GB2312"/>
          <w:sz w:val="30"/>
          <w:szCs w:val="30"/>
          <w:highlight w:val="none"/>
          <w:lang w:eastAsia="zh-CN"/>
        </w:rPr>
        <w:t>追加疫情临时性工作补助导致财政拨款增加。</w:t>
      </w:r>
    </w:p>
    <w:p w14:paraId="0290C7E8">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五、一般公共预算财政拨款支出决算情况说明</w:t>
      </w:r>
    </w:p>
    <w:p w14:paraId="45116D05">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（一）总体情况</w:t>
      </w:r>
    </w:p>
    <w:p w14:paraId="440B094D">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天津市滨海新区急救分中心2023年度部门决算一般公共预算财政拨款支出</w:t>
      </w:r>
      <w:r>
        <w:rPr>
          <w:rFonts w:hint="eastAsia" w:ascii="Times New Roman" w:hAnsi="Times New Roman" w:eastAsia="仿宋_GB2312" w:cs="仿宋_GB2312"/>
          <w:sz w:val="30"/>
          <w:szCs w:val="30"/>
          <w:highlight w:val="none"/>
          <w:lang w:val="zh-CN" w:eastAsia="zh-CN"/>
        </w:rPr>
        <w:t>合</w:t>
      </w:r>
      <w:r>
        <w:rPr>
          <w:rFonts w:hint="eastAsia" w:ascii="Times New Roman" w:hAnsi="Times New Roman" w:eastAsia="仿宋_GB2312" w:cs="仿宋_GB2312"/>
          <w:sz w:val="30"/>
          <w:szCs w:val="30"/>
          <w:highlight w:val="none"/>
          <w:lang w:eastAsia="zh-CN"/>
        </w:rPr>
        <w:t>计83,984,616.60元，占本年支出合计的74.93%，与2022年度相比，一般公共预算财政拨款支出</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sz w:val="30"/>
          <w:szCs w:val="30"/>
          <w:highlight w:val="none"/>
          <w:lang w:eastAsia="zh-CN"/>
        </w:rPr>
        <w:t>2,650,407.90元，</w:t>
      </w:r>
      <w:r>
        <w:rPr>
          <w:rFonts w:hint="eastAsia" w:ascii="Times New Roman" w:hAnsi="Times New Roman" w:eastAsia="仿宋_GB2312" w:cs="仿宋_GB2312"/>
          <w:sz w:val="30"/>
          <w:szCs w:val="30"/>
          <w:highlight w:val="none"/>
          <w:lang w:val="en-US" w:eastAsia="zh-CN"/>
        </w:rPr>
        <w:t>增长</w:t>
      </w:r>
      <w:r>
        <w:rPr>
          <w:rFonts w:hint="eastAsia" w:ascii="Times New Roman" w:hAnsi="Times New Roman" w:eastAsia="仿宋_GB2312" w:cs="仿宋_GB2312"/>
          <w:sz w:val="30"/>
          <w:szCs w:val="30"/>
          <w:highlight w:val="none"/>
          <w:lang w:eastAsia="zh-CN"/>
        </w:rPr>
        <w:t>3.26%，</w:t>
      </w:r>
      <w:r>
        <w:rPr>
          <w:rFonts w:hint="eastAsia" w:ascii="Times New Roman" w:hAnsi="Times New Roman" w:eastAsia="仿宋_GB2312" w:cs="仿宋_GB2312"/>
          <w:sz w:val="30"/>
          <w:szCs w:val="30"/>
          <w:highlight w:val="none"/>
          <w:lang w:val="zh-CN" w:eastAsia="zh-CN"/>
        </w:rPr>
        <w:t>主要原因是</w:t>
      </w:r>
      <w:r>
        <w:rPr>
          <w:rFonts w:hint="eastAsia" w:ascii="Times New Roman" w:hAnsi="Times New Roman" w:eastAsia="仿宋_GB2312" w:cs="仿宋_GB2312"/>
          <w:sz w:val="30"/>
          <w:szCs w:val="30"/>
          <w:highlight w:val="none"/>
          <w:lang w:eastAsia="zh-CN"/>
        </w:rPr>
        <w:t>：发放疫情临时性工作补助导致人员支出增加。</w:t>
      </w:r>
    </w:p>
    <w:p w14:paraId="4AD3FBB7">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（二）</w:t>
      </w:r>
      <w:r>
        <w:rPr>
          <w:rFonts w:hint="eastAsia" w:ascii="Times New Roman" w:hAnsi="Times New Roman" w:eastAsia="楷体" w:cs="楷体"/>
          <w:b/>
          <w:bCs/>
          <w:kern w:val="0"/>
          <w:sz w:val="30"/>
          <w:szCs w:val="30"/>
          <w:highlight w:val="none"/>
          <w:lang w:val="zh-CN"/>
        </w:rPr>
        <w:t>支出结构</w:t>
      </w:r>
      <w:r>
        <w:rPr>
          <w:rFonts w:hint="eastAsia" w:ascii="Times New Roman" w:hAnsi="Times New Roman" w:eastAsia="楷体" w:cs="楷体"/>
          <w:b/>
          <w:bCs/>
          <w:kern w:val="0"/>
          <w:sz w:val="30"/>
          <w:szCs w:val="30"/>
          <w:highlight w:val="none"/>
        </w:rPr>
        <w:t>情况</w:t>
      </w:r>
    </w:p>
    <w:p w14:paraId="39445867">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2023</w:t>
      </w:r>
      <w:r>
        <w:rPr>
          <w:rFonts w:hint="eastAsia" w:ascii="Times New Roman" w:hAnsi="Times New Roman" w:eastAsia="仿宋_GB2312" w:cs="仿宋_GB2312"/>
          <w:sz w:val="30"/>
          <w:szCs w:val="30"/>
          <w:highlight w:val="none"/>
        </w:rPr>
        <w:t>年度一般公共预算财政拨款支出</w:t>
      </w:r>
      <w:r>
        <w:rPr>
          <w:rFonts w:hint="eastAsia" w:ascii="Times New Roman" w:hAnsi="Times New Roman" w:eastAsia="仿宋_GB2312" w:cs="Times New Roman"/>
          <w:sz w:val="30"/>
          <w:szCs w:val="30"/>
          <w:highlight w:val="none"/>
          <w:lang w:eastAsia="zh-CN"/>
        </w:rPr>
        <w:t>83,984,616.60</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rPr>
        <w:t>主要用于以下方面：</w:t>
      </w:r>
      <w:r>
        <w:rPr>
          <w:rFonts w:hint="eastAsia" w:ascii="Times New Roman" w:hAnsi="Times New Roman" w:eastAsia="仿宋_GB2312" w:cs="仿宋_GB2312"/>
          <w:sz w:val="30"/>
          <w:szCs w:val="30"/>
          <w:highlight w:val="none"/>
          <w:lang w:eastAsia="zh-CN"/>
        </w:rPr>
        <w:t>卫生健康支出（类）83984616.6元，占100%。</w:t>
      </w:r>
    </w:p>
    <w:p w14:paraId="526BA7FA">
      <w:pPr>
        <w:autoSpaceDE w:val="0"/>
        <w:autoSpaceDN w:val="0"/>
        <w:adjustRightInd w:val="0"/>
        <w:spacing w:line="600" w:lineRule="exact"/>
        <w:ind w:left="480"/>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（三）具体情况</w:t>
      </w:r>
    </w:p>
    <w:p w14:paraId="1A1C3D07">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eastAsia="zh-CN"/>
        </w:rPr>
        <w:t>2023</w:t>
      </w:r>
      <w:r>
        <w:rPr>
          <w:rFonts w:hint="eastAsia" w:ascii="Times New Roman" w:hAnsi="Times New Roman" w:eastAsia="仿宋_GB2312" w:cs="仿宋_GB2312"/>
          <w:kern w:val="0"/>
          <w:sz w:val="30"/>
          <w:szCs w:val="30"/>
          <w:highlight w:val="none"/>
        </w:rPr>
        <w:t>年度一般公共预算财政拨款支出年初预算为</w:t>
      </w:r>
      <w:r>
        <w:rPr>
          <w:rFonts w:hint="eastAsia" w:ascii="Times New Roman" w:hAnsi="Times New Roman" w:eastAsia="仿宋_GB2312" w:cs="Times New Roman"/>
          <w:sz w:val="30"/>
          <w:szCs w:val="30"/>
          <w:highlight w:val="none"/>
          <w:lang w:eastAsia="zh-CN"/>
        </w:rPr>
        <w:t>55,600,000.00</w:t>
      </w:r>
      <w:r>
        <w:rPr>
          <w:rFonts w:hint="eastAsia" w:ascii="Times New Roman" w:hAnsi="Times New Roman" w:eastAsia="仿宋_GB2312" w:cs="仿宋_GB2312"/>
          <w:kern w:val="0"/>
          <w:sz w:val="30"/>
          <w:szCs w:val="30"/>
          <w:highlight w:val="none"/>
        </w:rPr>
        <w:t>元，支出决算为</w:t>
      </w:r>
      <w:r>
        <w:rPr>
          <w:rFonts w:hint="eastAsia" w:ascii="Times New Roman" w:hAnsi="Times New Roman" w:eastAsia="仿宋_GB2312" w:cs="Times New Roman"/>
          <w:sz w:val="30"/>
          <w:szCs w:val="30"/>
          <w:highlight w:val="none"/>
          <w:lang w:eastAsia="zh-CN"/>
        </w:rPr>
        <w:t>83,984,616.60</w:t>
      </w:r>
      <w:r>
        <w:rPr>
          <w:rFonts w:hint="eastAsia" w:ascii="Times New Roman" w:hAnsi="Times New Roman" w:eastAsia="仿宋_GB2312" w:cs="仿宋_GB2312"/>
          <w:kern w:val="0"/>
          <w:sz w:val="30"/>
          <w:szCs w:val="30"/>
          <w:highlight w:val="none"/>
        </w:rPr>
        <w:t>元，完成年初预算的</w:t>
      </w:r>
      <w:r>
        <w:rPr>
          <w:rFonts w:hint="eastAsia" w:ascii="Times New Roman" w:hAnsi="Times New Roman" w:eastAsia="仿宋_GB2312" w:cs="Times New Roman"/>
          <w:sz w:val="30"/>
          <w:szCs w:val="30"/>
          <w:highlight w:val="none"/>
          <w:lang w:eastAsia="zh-CN"/>
        </w:rPr>
        <w:t>151.05%</w:t>
      </w:r>
      <w:r>
        <w:rPr>
          <w:rFonts w:hint="eastAsia" w:ascii="Times New Roman" w:hAnsi="Times New Roman" w:eastAsia="仿宋_GB2312" w:cs="仿宋_GB2312"/>
          <w:kern w:val="0"/>
          <w:sz w:val="30"/>
          <w:szCs w:val="30"/>
          <w:highlight w:val="none"/>
        </w:rPr>
        <w:t>。其中：</w:t>
      </w:r>
    </w:p>
    <w:p w14:paraId="7611391F">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sz w:val="30"/>
          <w:szCs w:val="30"/>
          <w:highlight w:val="none"/>
          <w:lang w:eastAsia="zh-CN"/>
        </w:rPr>
        <w:t>1.卫生健康支出（类）公共卫生（款）突发公共卫生事件应急处理（项）的年初预算数为0.00元，追加预算数为2,210,000.00元，支出决算为2,210,000.00元，完成增加预算的100.00%，决算数等于追加预算数的主要原因是追加预算用于疫情临时性工作补助。</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2.卫生健康支出（类）公共卫生（款）应急救治机构（项）的年初预算数为37,600,000.00元。支出决算为41,149,216.60元，完成年初预算的109.44%，决算数大于年初预算数的主要原因是追加预算用于人员其他工资福利支出。</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3.卫生健康支出（类）公共卫生（款）基本公共卫生服务（项）的年初预算数为18,000,000.00元。支出决算为40,625,400.00元，完成年初预算的225.70%，决算数大于年初预算数的主要原因是追加预算用于基本公共卫生服务项目支出。</w:t>
      </w:r>
    </w:p>
    <w:p w14:paraId="4E36C3AF">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六、一般公共预算财政拨款基本支出决算情况说明</w:t>
      </w:r>
    </w:p>
    <w:p w14:paraId="5DC8F08D">
      <w:pPr>
        <w:autoSpaceDE w:val="0"/>
        <w:autoSpaceDN w:val="0"/>
        <w:adjustRightInd w:val="0"/>
        <w:spacing w:line="600" w:lineRule="exact"/>
        <w:ind w:firstLine="72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天津市滨海新区急救分中心</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年度部门决算一般公共预算财政拨款基本支出合计</w:t>
      </w:r>
      <w:r>
        <w:rPr>
          <w:rFonts w:hint="eastAsia" w:ascii="Times New Roman" w:hAnsi="Times New Roman" w:eastAsia="仿宋_GB2312" w:cs="Times New Roman"/>
          <w:sz w:val="30"/>
          <w:szCs w:val="30"/>
          <w:highlight w:val="none"/>
          <w:lang w:eastAsia="zh-CN"/>
        </w:rPr>
        <w:t>41,149,216.60</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sz w:val="30"/>
          <w:szCs w:val="30"/>
          <w:highlight w:val="none"/>
          <w:lang w:eastAsia="zh-CN"/>
        </w:rPr>
        <w:t>4,362,371.10</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rPr>
        <w:t>主要原因是</w:t>
      </w:r>
      <w:r>
        <w:rPr>
          <w:rFonts w:hint="eastAsia" w:ascii="Times New Roman" w:hAnsi="Times New Roman" w:eastAsia="楷体_GB2312" w:cs="楷体_GB2312"/>
          <w:sz w:val="30"/>
          <w:szCs w:val="30"/>
          <w:highlight w:val="none"/>
        </w:rPr>
        <w:t>：</w:t>
      </w:r>
      <w:r>
        <w:rPr>
          <w:rFonts w:hint="eastAsia" w:ascii="Times New Roman" w:hAnsi="Times New Roman" w:eastAsia="仿宋_GB2312" w:cs="仿宋_GB2312"/>
          <w:sz w:val="30"/>
          <w:szCs w:val="30"/>
          <w:highlight w:val="none"/>
          <w:lang w:eastAsia="zh-CN"/>
        </w:rPr>
        <w:t>追加预算用于人员其他工资福利支出。</w:t>
      </w:r>
      <w:r>
        <w:rPr>
          <w:rFonts w:hint="eastAsia" w:ascii="Times New Roman" w:hAnsi="Times New Roman" w:eastAsia="仿宋_GB2312" w:cs="仿宋_GB2312"/>
          <w:kern w:val="0"/>
          <w:sz w:val="30"/>
          <w:szCs w:val="30"/>
          <w:highlight w:val="none"/>
        </w:rPr>
        <w:t>其中：</w:t>
      </w:r>
    </w:p>
    <w:p w14:paraId="1405AAE6">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人员经费</w:t>
      </w:r>
      <w:r>
        <w:rPr>
          <w:rFonts w:hint="eastAsia" w:ascii="Times New Roman" w:hAnsi="Times New Roman" w:eastAsia="仿宋_GB2312" w:cs="Times New Roman"/>
          <w:sz w:val="30"/>
          <w:szCs w:val="30"/>
          <w:highlight w:val="none"/>
          <w:lang w:eastAsia="zh-CN"/>
        </w:rPr>
        <w:t>31,149,216.60</w:t>
      </w:r>
      <w:r>
        <w:rPr>
          <w:rFonts w:hint="eastAsia" w:ascii="Times New Roman" w:hAnsi="Times New Roman" w:eastAsia="仿宋_GB2312" w:cs="仿宋_GB2312"/>
          <w:kern w:val="0"/>
          <w:sz w:val="30"/>
          <w:szCs w:val="30"/>
          <w:highlight w:val="none"/>
        </w:rPr>
        <w:t>元，主要包括</w:t>
      </w:r>
      <w:r>
        <w:rPr>
          <w:rFonts w:hint="eastAsia" w:ascii="Times New Roman" w:hAnsi="Times New Roman" w:eastAsia="仿宋_GB2312" w:cs="仿宋_GB2312"/>
          <w:sz w:val="30"/>
          <w:szCs w:val="30"/>
          <w:highlight w:val="none"/>
          <w:lang w:eastAsia="zh-CN"/>
        </w:rPr>
        <w:t>基本工资、津贴补贴、绩效工资、机关事业单位基本养老保险缴费、职业年金缴费、职工基本医疗保险缴费、其他社会保障缴费、住房公积金、其他工资福利支出。</w:t>
      </w:r>
    </w:p>
    <w:p w14:paraId="269601C7">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公用经费</w:t>
      </w:r>
      <w:r>
        <w:rPr>
          <w:rFonts w:hint="eastAsia" w:ascii="Times New Roman" w:hAnsi="Times New Roman" w:eastAsia="仿宋_GB2312" w:cs="Times New Roman"/>
          <w:sz w:val="30"/>
          <w:szCs w:val="30"/>
          <w:highlight w:val="none"/>
          <w:lang w:eastAsia="zh-CN"/>
        </w:rPr>
        <w:t>10,000,000.00</w:t>
      </w:r>
      <w:r>
        <w:rPr>
          <w:rFonts w:hint="eastAsia" w:ascii="Times New Roman" w:hAnsi="Times New Roman" w:eastAsia="仿宋_GB2312" w:cs="仿宋_GB2312"/>
          <w:kern w:val="0"/>
          <w:sz w:val="30"/>
          <w:szCs w:val="30"/>
          <w:highlight w:val="none"/>
        </w:rPr>
        <w:t>元，主要包括</w:t>
      </w:r>
      <w:r>
        <w:rPr>
          <w:rFonts w:hint="eastAsia" w:ascii="Times New Roman" w:hAnsi="Times New Roman" w:eastAsia="仿宋_GB2312" w:cs="仿宋_GB2312"/>
          <w:sz w:val="30"/>
          <w:szCs w:val="30"/>
          <w:highlight w:val="none"/>
          <w:lang w:eastAsia="zh-CN"/>
        </w:rPr>
        <w:t>其他交通工具运行维护费、其他商品服务支出、劳务费。</w:t>
      </w:r>
    </w:p>
    <w:p w14:paraId="6583B5C5">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七、政府性基金预算财政拨款收支决算情况</w:t>
      </w:r>
    </w:p>
    <w:p w14:paraId="7D84578A">
      <w:pPr>
        <w:autoSpaceDE w:val="0"/>
        <w:autoSpaceDN w:val="0"/>
        <w:adjustRightInd w:val="0"/>
        <w:spacing w:line="600" w:lineRule="exact"/>
        <w:ind w:firstLine="600"/>
        <w:jc w:val="left"/>
        <w:rPr>
          <w:rFonts w:hint="default" w:ascii="Times New Roman" w:hAnsi="Times New Roman" w:eastAsia="楷体" w:cs="楷体"/>
          <w:kern w:val="0"/>
          <w:sz w:val="30"/>
          <w:szCs w:val="30"/>
          <w:highlight w:val="none"/>
          <w:lang w:val="en-US"/>
        </w:rPr>
      </w:pPr>
      <w:r>
        <w:rPr>
          <w:rFonts w:hint="eastAsia" w:ascii="Times New Roman" w:hAnsi="Times New Roman" w:eastAsia="仿宋_GB2312" w:cs="仿宋_GB2312"/>
          <w:sz w:val="30"/>
          <w:szCs w:val="30"/>
          <w:highlight w:val="none"/>
          <w:lang w:eastAsia="zh-CN"/>
        </w:rPr>
        <w:t>天津滨海新区急救分中心2023年度无政府性基金预算财政拨款收入、支出和结转结余。</w:t>
      </w:r>
      <w:r>
        <w:rPr>
          <w:rFonts w:hint="eastAsia" w:ascii="Times New Roman" w:hAnsi="Times New Roman" w:eastAsia="仿宋_GB2312" w:cs="仿宋_GB2312"/>
          <w:sz w:val="30"/>
          <w:szCs w:val="30"/>
          <w:highlight w:val="none"/>
          <w:lang w:val="en-US" w:eastAsia="zh-CN"/>
        </w:rPr>
        <w:tab/>
      </w:r>
    </w:p>
    <w:p w14:paraId="048AB477">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八、国有资本经营预算财政拨款收支决算情况说明</w:t>
      </w:r>
    </w:p>
    <w:p w14:paraId="6BE6495A">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天津滨海新区急救分中心2023年度无国有资本经营预算财政拨款收入、支出和结转结余。</w:t>
      </w:r>
    </w:p>
    <w:p w14:paraId="1B340B7B">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九、财政拨款</w:t>
      </w:r>
      <w:r>
        <w:rPr>
          <w:rFonts w:ascii="Times New Roman" w:hAnsi="Times New Roman" w:eastAsia="黑体" w:cs="黑体"/>
          <w:b/>
          <w:bCs/>
          <w:kern w:val="0"/>
          <w:sz w:val="30"/>
          <w:szCs w:val="30"/>
          <w:highlight w:val="none"/>
        </w:rPr>
        <w:t>“</w:t>
      </w:r>
      <w:r>
        <w:rPr>
          <w:rFonts w:hint="eastAsia" w:ascii="Times New Roman" w:hAnsi="Times New Roman" w:eastAsia="黑体" w:cs="黑体"/>
          <w:b/>
          <w:bCs/>
          <w:kern w:val="0"/>
          <w:sz w:val="30"/>
          <w:szCs w:val="30"/>
          <w:highlight w:val="none"/>
        </w:rPr>
        <w:t>三公</w:t>
      </w:r>
      <w:r>
        <w:rPr>
          <w:rFonts w:ascii="Times New Roman" w:hAnsi="Times New Roman" w:eastAsia="黑体" w:cs="黑体"/>
          <w:b/>
          <w:bCs/>
          <w:kern w:val="0"/>
          <w:sz w:val="30"/>
          <w:szCs w:val="30"/>
          <w:highlight w:val="none"/>
        </w:rPr>
        <w:t>”</w:t>
      </w:r>
      <w:r>
        <w:rPr>
          <w:rFonts w:hint="eastAsia" w:ascii="Times New Roman" w:hAnsi="Times New Roman" w:eastAsia="黑体" w:cs="黑体"/>
          <w:b/>
          <w:bCs/>
          <w:kern w:val="0"/>
          <w:sz w:val="30"/>
          <w:szCs w:val="30"/>
          <w:highlight w:val="none"/>
        </w:rPr>
        <w:t>经费</w:t>
      </w:r>
      <w:r>
        <w:rPr>
          <w:rFonts w:hint="eastAsia" w:ascii="Times New Roman" w:hAnsi="Times New Roman" w:eastAsia="黑体" w:cs="黑体"/>
          <w:b/>
          <w:bCs/>
          <w:kern w:val="0"/>
          <w:sz w:val="30"/>
          <w:szCs w:val="30"/>
          <w:highlight w:val="none"/>
          <w:lang w:val="zh-CN"/>
        </w:rPr>
        <w:t>支出决算</w:t>
      </w:r>
      <w:r>
        <w:rPr>
          <w:rFonts w:hint="eastAsia" w:ascii="Times New Roman" w:hAnsi="Times New Roman" w:eastAsia="黑体" w:cs="黑体"/>
          <w:b/>
          <w:bCs/>
          <w:kern w:val="0"/>
          <w:sz w:val="30"/>
          <w:szCs w:val="30"/>
          <w:highlight w:val="none"/>
        </w:rPr>
        <w:t>情况</w:t>
      </w:r>
    </w:p>
    <w:p w14:paraId="0393E0E7">
      <w:pPr>
        <w:autoSpaceDE w:val="0"/>
        <w:autoSpaceDN w:val="0"/>
        <w:adjustRightInd w:val="0"/>
        <w:spacing w:line="600" w:lineRule="exact"/>
        <w:ind w:firstLine="602"/>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（一）总体情况</w:t>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p>
    <w:p w14:paraId="073356F6">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w:t>
      </w: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sz w:val="30"/>
          <w:szCs w:val="30"/>
        </w:rPr>
        <w:t>经费。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sz w:val="30"/>
          <w:szCs w:val="30"/>
        </w:rPr>
        <w:t>经费。</w:t>
      </w:r>
    </w:p>
    <w:p w14:paraId="0AB37A0F">
      <w:pPr>
        <w:autoSpaceDE w:val="0"/>
        <w:autoSpaceDN w:val="0"/>
        <w:adjustRightInd w:val="0"/>
        <w:spacing w:line="600" w:lineRule="exact"/>
        <w:ind w:firstLine="602"/>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（二）具体情况</w:t>
      </w:r>
    </w:p>
    <w:p w14:paraId="4B21EE5B">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1.</w:t>
      </w:r>
      <w:r>
        <w:rPr>
          <w:rFonts w:hint="eastAsia" w:ascii="Times New Roman" w:hAnsi="Times New Roman" w:eastAsia="仿宋_GB2312" w:cs="仿宋_GB2312"/>
          <w:kern w:val="0"/>
          <w:sz w:val="30"/>
          <w:szCs w:val="30"/>
        </w:rPr>
        <w:t>因公出国（境）费预算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本年度未用财政拨款经费列支因公出国（境）费。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本年度未用财政拨款经费列支因公出国（境）费。</w:t>
      </w:r>
    </w:p>
    <w:p w14:paraId="7FAFCBC0">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3年本单位组织的出国团组</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个，出国</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w:t>
      </w:r>
    </w:p>
    <w:p w14:paraId="4B2DA784">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rPr>
        <w:t>2.</w:t>
      </w:r>
      <w:r>
        <w:rPr>
          <w:rFonts w:hint="eastAsia" w:ascii="Times New Roman" w:hAnsi="Times New Roman" w:eastAsia="仿宋_GB2312" w:cs="仿宋_GB2312"/>
          <w:kern w:val="0"/>
          <w:sz w:val="30"/>
          <w:szCs w:val="30"/>
        </w:rPr>
        <w:t>公务用车购置及运行维护费预算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本年度未用财政拨款经费列支公务用车购置及运行维护费。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本年度未用财政拨款经费列支公务用车购置及运行维护费。</w:t>
      </w:r>
      <w:r>
        <w:rPr>
          <w:rFonts w:hint="eastAsia" w:ascii="Times New Roman" w:hAnsi="Times New Roman" w:eastAsia="仿宋_GB2312" w:cs="仿宋_GB2312"/>
          <w:kern w:val="0"/>
          <w:sz w:val="30"/>
          <w:szCs w:val="30"/>
        </w:rPr>
        <w:t>其中：</w:t>
      </w:r>
    </w:p>
    <w:p w14:paraId="6FA1F347">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公务用车运行维护费预算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本年度未用财政拨款经费列公务用车运行维护费。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本年度未用财政拨款经费列公务用车运行维护费。</w:t>
      </w:r>
    </w:p>
    <w:p w14:paraId="7F4532A9">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截至</w:t>
      </w: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w:t>
      </w:r>
      <w:r>
        <w:rPr>
          <w:rFonts w:ascii="Times New Roman" w:hAnsi="Times New Roman" w:eastAsia="仿宋_GB2312" w:cs="仿宋_GB2312"/>
          <w:kern w:val="0"/>
          <w:sz w:val="30"/>
          <w:szCs w:val="30"/>
        </w:rPr>
        <w:t>12</w:t>
      </w:r>
      <w:r>
        <w:rPr>
          <w:rFonts w:hint="eastAsia" w:ascii="Times New Roman" w:hAnsi="Times New Roman" w:eastAsia="仿宋_GB2312" w:cs="仿宋_GB2312"/>
          <w:kern w:val="0"/>
          <w:sz w:val="30"/>
          <w:szCs w:val="30"/>
        </w:rPr>
        <w:t>月</w:t>
      </w:r>
      <w:r>
        <w:rPr>
          <w:rFonts w:ascii="Times New Roman" w:hAnsi="Times New Roman" w:eastAsia="仿宋_GB2312" w:cs="仿宋_GB2312"/>
          <w:kern w:val="0"/>
          <w:sz w:val="30"/>
          <w:szCs w:val="30"/>
        </w:rPr>
        <w:t>31</w:t>
      </w:r>
      <w:r>
        <w:rPr>
          <w:rFonts w:hint="eastAsia" w:ascii="Times New Roman" w:hAnsi="Times New Roman" w:eastAsia="仿宋_GB2312" w:cs="仿宋_GB2312"/>
          <w:kern w:val="0"/>
          <w:sz w:val="30"/>
          <w:szCs w:val="30"/>
        </w:rPr>
        <w:t>日，使用财政拨款开支运行维护费的公务用车保有量为</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辆。</w:t>
      </w:r>
    </w:p>
    <w:p w14:paraId="6A3F0651">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公务用车购置费预算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本年度未用财政拨款经费列支公务用车购置费。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本年度未用财政拨款经费列支公务用车购置费。</w:t>
      </w:r>
    </w:p>
    <w:p w14:paraId="5553538C">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3年购置公务用车</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辆。</w:t>
      </w:r>
    </w:p>
    <w:p w14:paraId="7F049319">
      <w:pPr>
        <w:autoSpaceDE w:val="0"/>
        <w:autoSpaceDN w:val="0"/>
        <w:adjustRightInd w:val="0"/>
        <w:spacing w:line="600" w:lineRule="exact"/>
        <w:ind w:firstLine="645"/>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3.</w:t>
      </w:r>
      <w:r>
        <w:rPr>
          <w:rFonts w:hint="eastAsia" w:ascii="Times New Roman" w:hAnsi="Times New Roman" w:eastAsia="仿宋_GB2312" w:cs="仿宋_GB2312"/>
          <w:kern w:val="0"/>
          <w:sz w:val="30"/>
          <w:szCs w:val="30"/>
        </w:rPr>
        <w:t>公务接待费预算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本年度未用财政拨款经费列支公务接待费。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本年度未用财政拨款经费列支公务接待费。</w:t>
      </w:r>
    </w:p>
    <w:p w14:paraId="42F666FD">
      <w:pPr>
        <w:autoSpaceDE w:val="0"/>
        <w:autoSpaceDN w:val="0"/>
        <w:adjustRightInd w:val="0"/>
        <w:spacing w:line="600" w:lineRule="exact"/>
        <w:ind w:firstLine="645"/>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3年本单位国内公务接待</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批次，</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人次；其中，外事接待</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批次，</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w:t>
      </w:r>
    </w:p>
    <w:p w14:paraId="3094BB31">
      <w:pPr>
        <w:keepNext/>
        <w:keepLines/>
        <w:autoSpaceDE w:val="0"/>
        <w:autoSpaceDN w:val="0"/>
        <w:adjustRightInd w:val="0"/>
        <w:spacing w:line="600" w:lineRule="exact"/>
        <w:ind w:firstLine="602"/>
        <w:jc w:val="left"/>
        <w:outlineLvl w:val="1"/>
        <w:rPr>
          <w:rFonts w:ascii="Times New Roman" w:hAnsi="Times New Roman" w:eastAsia="仿宋_GB2312" w:cs="Times New Roman"/>
          <w:kern w:val="0"/>
          <w:sz w:val="30"/>
          <w:szCs w:val="30"/>
          <w:highlight w:val="none"/>
        </w:rPr>
      </w:pPr>
      <w:r>
        <w:rPr>
          <w:rFonts w:hint="eastAsia" w:ascii="Times New Roman" w:hAnsi="Times New Roman" w:eastAsia="黑体" w:cs="黑体"/>
          <w:b/>
          <w:bCs/>
          <w:kern w:val="0"/>
          <w:sz w:val="30"/>
          <w:szCs w:val="30"/>
          <w:highlight w:val="none"/>
        </w:rPr>
        <w:t>十、机关运行经费支出情况说明</w:t>
      </w:r>
    </w:p>
    <w:p w14:paraId="0250ECA4">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天津市滨海新区急救分中心2023年度无机关运行经费。</w:t>
      </w:r>
    </w:p>
    <w:p w14:paraId="38B8A50D">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十一、政府采购支出情况说明</w:t>
      </w:r>
    </w:p>
    <w:p w14:paraId="1929B093">
      <w:pPr>
        <w:autoSpaceDE w:val="0"/>
        <w:autoSpaceDN w:val="0"/>
        <w:adjustRightInd w:val="0"/>
        <w:spacing w:line="600" w:lineRule="exact"/>
        <w:ind w:firstLine="600"/>
        <w:jc w:val="both"/>
        <w:rPr>
          <w:rFonts w:ascii="Times New Roman" w:hAnsi="Times New Roman" w:eastAsia="楷体" w:cs="Times New Roman"/>
          <w:kern w:val="0"/>
          <w:sz w:val="30"/>
          <w:szCs w:val="30"/>
          <w:highlight w:val="none"/>
        </w:rPr>
      </w:pPr>
      <w:r>
        <w:rPr>
          <w:rFonts w:hint="eastAsia" w:ascii="Times New Roman" w:hAnsi="Times New Roman" w:eastAsia="仿宋_GB2312" w:cs="仿宋_GB2312"/>
          <w:color w:val="000000"/>
          <w:kern w:val="0"/>
          <w:sz w:val="30"/>
          <w:szCs w:val="30"/>
          <w:highlight w:val="none"/>
          <w:lang w:eastAsia="zh-CN"/>
        </w:rPr>
        <w:t>天津市滨海新区急救分中心</w:t>
      </w:r>
      <w:r>
        <w:rPr>
          <w:rFonts w:hint="eastAsia" w:ascii="Times New Roman" w:hAnsi="Times New Roman" w:eastAsia="宋体" w:cs="宋体"/>
          <w:color w:val="000000"/>
          <w:kern w:val="0"/>
          <w:sz w:val="30"/>
          <w:szCs w:val="30"/>
          <w:highlight w:val="none"/>
          <w:lang w:eastAsia="zh-CN"/>
        </w:rPr>
        <w:t>2023</w:t>
      </w:r>
      <w:r>
        <w:rPr>
          <w:rFonts w:hint="eastAsia" w:ascii="Times New Roman" w:hAnsi="Times New Roman" w:eastAsia="仿宋_GB2312" w:cs="仿宋_GB2312"/>
          <w:color w:val="000000"/>
          <w:kern w:val="0"/>
          <w:sz w:val="30"/>
          <w:szCs w:val="30"/>
          <w:highlight w:val="none"/>
        </w:rPr>
        <w:t>年</w:t>
      </w:r>
      <w:r>
        <w:rPr>
          <w:rFonts w:hint="eastAsia" w:ascii="Times New Roman" w:hAnsi="Times New Roman" w:eastAsia="仿宋_GB2312" w:cs="仿宋_GB2312"/>
          <w:sz w:val="30"/>
          <w:szCs w:val="30"/>
          <w:highlight w:val="none"/>
        </w:rPr>
        <w:t>政府</w:t>
      </w:r>
      <w:r>
        <w:rPr>
          <w:rFonts w:hint="eastAsia" w:ascii="Times New Roman" w:hAnsi="Times New Roman" w:eastAsia="仿宋_GB2312" w:cs="仿宋_GB2312"/>
          <w:color w:val="000000"/>
          <w:kern w:val="0"/>
          <w:sz w:val="30"/>
          <w:szCs w:val="30"/>
          <w:highlight w:val="none"/>
        </w:rPr>
        <w:t>采购支出总额</w:t>
      </w:r>
      <w:r>
        <w:rPr>
          <w:rFonts w:hint="eastAsia" w:ascii="Times New Roman" w:hAnsi="Times New Roman" w:eastAsia="仿宋_GB2312" w:cs="Times New Roman"/>
          <w:kern w:val="0"/>
          <w:sz w:val="30"/>
          <w:szCs w:val="30"/>
          <w:highlight w:val="none"/>
          <w:lang w:eastAsia="zh-CN"/>
        </w:rPr>
        <w:t>11,330,496.00</w:t>
      </w:r>
      <w:r>
        <w:rPr>
          <w:rFonts w:hint="eastAsia" w:ascii="Times New Roman" w:hAnsi="Times New Roman" w:eastAsia="仿宋_GB2312" w:cs="仿宋_GB2312"/>
          <w:color w:val="000000"/>
          <w:kern w:val="0"/>
          <w:sz w:val="30"/>
          <w:szCs w:val="30"/>
          <w:highlight w:val="none"/>
        </w:rPr>
        <w:t>元，其中：政府采购货物支出</w:t>
      </w:r>
      <w:r>
        <w:rPr>
          <w:rFonts w:hint="eastAsia" w:ascii="Times New Roman" w:hAnsi="Times New Roman" w:eastAsia="仿宋_GB2312" w:cs="Times New Roman"/>
          <w:kern w:val="0"/>
          <w:sz w:val="30"/>
          <w:szCs w:val="30"/>
          <w:highlight w:val="none"/>
          <w:lang w:eastAsia="zh-CN"/>
        </w:rPr>
        <w:t>2,003,136.00</w:t>
      </w:r>
      <w:r>
        <w:rPr>
          <w:rFonts w:hint="eastAsia" w:ascii="Times New Roman" w:hAnsi="Times New Roman" w:eastAsia="仿宋_GB2312" w:cs="仿宋_GB2312"/>
          <w:color w:val="000000"/>
          <w:kern w:val="0"/>
          <w:sz w:val="30"/>
          <w:szCs w:val="30"/>
          <w:highlight w:val="none"/>
        </w:rPr>
        <w:t>元、政府采购工程支出</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color w:val="000000"/>
          <w:kern w:val="0"/>
          <w:sz w:val="30"/>
          <w:szCs w:val="30"/>
          <w:highlight w:val="none"/>
        </w:rPr>
        <w:t>元、政府采购服务支出</w:t>
      </w:r>
      <w:r>
        <w:rPr>
          <w:rFonts w:hint="eastAsia" w:ascii="Times New Roman" w:hAnsi="Times New Roman" w:eastAsia="仿宋_GB2312" w:cs="Times New Roman"/>
          <w:kern w:val="0"/>
          <w:sz w:val="30"/>
          <w:szCs w:val="30"/>
          <w:highlight w:val="none"/>
          <w:lang w:eastAsia="zh-CN"/>
        </w:rPr>
        <w:t>9,327,360.00</w:t>
      </w:r>
      <w:r>
        <w:rPr>
          <w:rFonts w:hint="eastAsia" w:ascii="Times New Roman" w:hAnsi="Times New Roman" w:eastAsia="仿宋_GB2312" w:cs="仿宋_GB2312"/>
          <w:color w:val="000000"/>
          <w:kern w:val="0"/>
          <w:sz w:val="30"/>
          <w:szCs w:val="30"/>
          <w:highlight w:val="none"/>
        </w:rPr>
        <w:t>元。授予中小企业合同金额</w:t>
      </w:r>
      <w:r>
        <w:rPr>
          <w:rFonts w:hint="eastAsia" w:ascii="Times New Roman" w:hAnsi="Times New Roman" w:eastAsia="仿宋_GB2312" w:cs="Times New Roman"/>
          <w:kern w:val="0"/>
          <w:sz w:val="30"/>
          <w:szCs w:val="30"/>
          <w:highlight w:val="none"/>
          <w:lang w:eastAsia="zh-CN"/>
        </w:rPr>
        <w:t>11,330,496.00</w:t>
      </w:r>
      <w:r>
        <w:rPr>
          <w:rFonts w:hint="eastAsia" w:ascii="Times New Roman" w:hAnsi="Times New Roman" w:eastAsia="仿宋_GB2312" w:cs="仿宋_GB2312"/>
          <w:color w:val="000000"/>
          <w:kern w:val="0"/>
          <w:sz w:val="30"/>
          <w:szCs w:val="30"/>
          <w:highlight w:val="none"/>
        </w:rPr>
        <w:t>元，占政府采购支出总额的</w:t>
      </w:r>
      <w:r>
        <w:rPr>
          <w:rFonts w:hint="eastAsia" w:ascii="Times New Roman" w:hAnsi="Times New Roman" w:eastAsia="仿宋_GB2312" w:cs="Times New Roman"/>
          <w:kern w:val="0"/>
          <w:sz w:val="30"/>
          <w:szCs w:val="30"/>
          <w:highlight w:val="none"/>
          <w:lang w:eastAsia="zh-CN"/>
        </w:rPr>
        <w:t>100.0%</w:t>
      </w:r>
      <w:r>
        <w:rPr>
          <w:rFonts w:hint="eastAsia" w:ascii="Times New Roman" w:hAnsi="Times New Roman" w:eastAsia="仿宋_GB2312" w:cs="仿宋_GB2312"/>
          <w:color w:val="000000"/>
          <w:kern w:val="0"/>
          <w:sz w:val="30"/>
          <w:szCs w:val="30"/>
          <w:highlight w:val="none"/>
        </w:rPr>
        <w:t>，其中：授予小微企业合同金额</w:t>
      </w:r>
      <w:r>
        <w:rPr>
          <w:rFonts w:hint="eastAsia" w:ascii="Times New Roman" w:hAnsi="Times New Roman" w:eastAsia="仿宋_GB2312" w:cs="Times New Roman"/>
          <w:kern w:val="0"/>
          <w:sz w:val="30"/>
          <w:szCs w:val="30"/>
          <w:highlight w:val="none"/>
          <w:lang w:eastAsia="zh-CN"/>
        </w:rPr>
        <w:t>9,680,496.00</w:t>
      </w:r>
      <w:r>
        <w:rPr>
          <w:rFonts w:hint="eastAsia" w:ascii="Times New Roman" w:hAnsi="Times New Roman" w:eastAsia="仿宋_GB2312" w:cs="仿宋_GB2312"/>
          <w:color w:val="000000"/>
          <w:kern w:val="0"/>
          <w:sz w:val="30"/>
          <w:szCs w:val="30"/>
          <w:highlight w:val="none"/>
        </w:rPr>
        <w:t>元，占政府采购支出总额的</w:t>
      </w:r>
      <w:r>
        <w:rPr>
          <w:rFonts w:hint="eastAsia" w:ascii="Times New Roman" w:hAnsi="Times New Roman" w:eastAsia="仿宋_GB2312" w:cs="Times New Roman"/>
          <w:kern w:val="0"/>
          <w:sz w:val="30"/>
          <w:szCs w:val="30"/>
          <w:highlight w:val="none"/>
          <w:lang w:eastAsia="zh-CN"/>
        </w:rPr>
        <w:t>85.44%</w:t>
      </w:r>
      <w:r>
        <w:rPr>
          <w:rFonts w:hint="eastAsia" w:ascii="Times New Roman" w:hAnsi="Times New Roman" w:eastAsia="仿宋_GB2312" w:cs="仿宋_GB2312"/>
          <w:color w:val="000000"/>
          <w:kern w:val="0"/>
          <w:sz w:val="30"/>
          <w:szCs w:val="30"/>
          <w:highlight w:val="none"/>
        </w:rPr>
        <w:t>；</w:t>
      </w:r>
      <w:r>
        <w:rPr>
          <w:rFonts w:hint="eastAsia" w:ascii="Times New Roman" w:hAnsi="Times New Roman" w:eastAsia="仿宋_GB2312" w:cs="仿宋_GB2312"/>
          <w:kern w:val="0"/>
          <w:sz w:val="30"/>
          <w:szCs w:val="30"/>
          <w:highlight w:val="none"/>
        </w:rPr>
        <w:t>货物采购授予中小企业合同金额占货物支出金额的</w:t>
      </w:r>
      <w:r>
        <w:rPr>
          <w:rFonts w:hint="eastAsia" w:ascii="Times New Roman" w:hAnsi="Times New Roman" w:eastAsia="仿宋_GB2312" w:cs="仿宋_GB2312"/>
          <w:sz w:val="30"/>
          <w:szCs w:val="30"/>
          <w:highlight w:val="none"/>
          <w:lang w:eastAsia="zh-CN"/>
        </w:rPr>
        <w:t>100.0</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，工程采购授予中小企业合同金额占工程支出金额的</w:t>
      </w:r>
      <w:r>
        <w:rPr>
          <w:rFonts w:hint="eastAsia" w:ascii="Times New Roman" w:hAnsi="Times New Roman" w:eastAsia="仿宋_GB2312" w:cs="仿宋_GB2312"/>
          <w:sz w:val="30"/>
          <w:szCs w:val="30"/>
          <w:highlight w:val="none"/>
          <w:lang w:eastAsia="zh-CN"/>
        </w:rPr>
        <w:t>0.0</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，服务采购授予中小企业合同金额占服务支出金额的</w:t>
      </w:r>
      <w:r>
        <w:rPr>
          <w:rFonts w:hint="eastAsia" w:ascii="Times New Roman" w:hAnsi="Times New Roman" w:eastAsia="仿宋_GB2312" w:cs="仿宋_GB2312"/>
          <w:sz w:val="30"/>
          <w:szCs w:val="30"/>
          <w:highlight w:val="none"/>
          <w:lang w:eastAsia="zh-CN"/>
        </w:rPr>
        <w:t>100.0</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w:t>
      </w:r>
    </w:p>
    <w:p w14:paraId="245CE34D">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十二、</w:t>
      </w:r>
      <w:r>
        <w:rPr>
          <w:rFonts w:hint="eastAsia" w:ascii="Times New Roman" w:hAnsi="Times New Roman" w:eastAsia="黑体" w:cs="黑体"/>
          <w:b/>
          <w:bCs/>
          <w:kern w:val="0"/>
          <w:sz w:val="30"/>
          <w:szCs w:val="30"/>
          <w:highlight w:val="none"/>
        </w:rPr>
        <w:t>国有资产占有使用情况说明</w:t>
      </w:r>
    </w:p>
    <w:p w14:paraId="71092C66">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color w:val="000000"/>
          <w:kern w:val="0"/>
          <w:sz w:val="30"/>
          <w:szCs w:val="30"/>
          <w:highlight w:val="none"/>
        </w:rPr>
        <w:t>截至</w:t>
      </w:r>
      <w:r>
        <w:rPr>
          <w:rFonts w:ascii="Times New Roman" w:hAnsi="Times New Roman" w:eastAsia="宋体" w:cs="宋体"/>
          <w:color w:val="000000"/>
          <w:kern w:val="0"/>
          <w:sz w:val="30"/>
          <w:szCs w:val="30"/>
          <w:highlight w:val="none"/>
        </w:rPr>
        <w:t>202</w:t>
      </w:r>
      <w:r>
        <w:rPr>
          <w:rFonts w:hint="eastAsia" w:ascii="Times New Roman" w:hAnsi="Times New Roman" w:eastAsia="宋体" w:cs="宋体"/>
          <w:color w:val="000000"/>
          <w:kern w:val="0"/>
          <w:sz w:val="30"/>
          <w:szCs w:val="30"/>
          <w:highlight w:val="none"/>
          <w:lang w:val="en-US" w:eastAsia="zh-CN"/>
        </w:rPr>
        <w:t>3</w:t>
      </w:r>
      <w:r>
        <w:rPr>
          <w:rFonts w:hint="eastAsia" w:ascii="Times New Roman" w:hAnsi="Times New Roman" w:eastAsia="仿宋_GB2312" w:cs="仿宋_GB2312"/>
          <w:color w:val="000000"/>
          <w:kern w:val="0"/>
          <w:sz w:val="30"/>
          <w:szCs w:val="30"/>
          <w:highlight w:val="none"/>
        </w:rPr>
        <w:t>年</w:t>
      </w:r>
      <w:r>
        <w:rPr>
          <w:rFonts w:ascii="Times New Roman" w:hAnsi="Times New Roman" w:eastAsia="仿宋_GB2312" w:cs="Times New Roman"/>
          <w:color w:val="000000"/>
          <w:kern w:val="0"/>
          <w:sz w:val="30"/>
          <w:szCs w:val="30"/>
          <w:highlight w:val="none"/>
        </w:rPr>
        <w:t>12</w:t>
      </w:r>
      <w:r>
        <w:rPr>
          <w:rFonts w:hint="eastAsia" w:ascii="Times New Roman" w:hAnsi="Times New Roman" w:eastAsia="仿宋_GB2312" w:cs="仿宋_GB2312"/>
          <w:color w:val="000000"/>
          <w:kern w:val="0"/>
          <w:sz w:val="30"/>
          <w:szCs w:val="30"/>
          <w:highlight w:val="none"/>
        </w:rPr>
        <w:t>月</w:t>
      </w:r>
      <w:r>
        <w:rPr>
          <w:rFonts w:ascii="Times New Roman" w:hAnsi="Times New Roman" w:eastAsia="仿宋_GB2312" w:cs="Times New Roman"/>
          <w:color w:val="000000"/>
          <w:kern w:val="0"/>
          <w:sz w:val="30"/>
          <w:szCs w:val="30"/>
          <w:highlight w:val="none"/>
        </w:rPr>
        <w:t>31</w:t>
      </w:r>
      <w:r>
        <w:rPr>
          <w:rFonts w:hint="eastAsia" w:ascii="Times New Roman" w:hAnsi="Times New Roman" w:eastAsia="仿宋_GB2312" w:cs="仿宋_GB2312"/>
          <w:color w:val="000000"/>
          <w:kern w:val="0"/>
          <w:sz w:val="30"/>
          <w:szCs w:val="30"/>
          <w:highlight w:val="none"/>
        </w:rPr>
        <w:t>日，</w:t>
      </w:r>
      <w:r>
        <w:rPr>
          <w:rFonts w:hint="eastAsia" w:ascii="Times New Roman" w:hAnsi="Times New Roman" w:eastAsia="仿宋_GB2312" w:cs="仿宋_GB2312"/>
          <w:color w:val="000000"/>
          <w:kern w:val="0"/>
          <w:sz w:val="30"/>
          <w:szCs w:val="30"/>
          <w:highlight w:val="none"/>
          <w:lang w:eastAsia="zh-CN"/>
        </w:rPr>
        <w:t>天津市滨海新区急救分中心</w:t>
      </w:r>
      <w:r>
        <w:rPr>
          <w:rFonts w:hint="eastAsia" w:ascii="Times New Roman" w:hAnsi="Times New Roman" w:eastAsia="仿宋_GB2312" w:cs="仿宋_GB2312"/>
          <w:color w:val="000000"/>
          <w:kern w:val="0"/>
          <w:sz w:val="30"/>
          <w:szCs w:val="30"/>
          <w:highlight w:val="none"/>
        </w:rPr>
        <w:t>共有车辆</w:t>
      </w:r>
      <w:r>
        <w:rPr>
          <w:rFonts w:hint="eastAsia" w:ascii="Times New Roman" w:hAnsi="Times New Roman" w:eastAsia="仿宋_GB2312" w:cs="Times New Roman"/>
          <w:kern w:val="0"/>
          <w:sz w:val="30"/>
          <w:szCs w:val="30"/>
          <w:highlight w:val="none"/>
          <w:lang w:eastAsia="zh-CN"/>
        </w:rPr>
        <w:t>65</w:t>
      </w:r>
      <w:r>
        <w:rPr>
          <w:rFonts w:hint="eastAsia" w:ascii="Times New Roman" w:hAnsi="Times New Roman" w:eastAsia="仿宋_GB2312" w:cs="仿宋_GB2312"/>
          <w:color w:val="000000"/>
          <w:kern w:val="0"/>
          <w:sz w:val="30"/>
          <w:szCs w:val="30"/>
          <w:highlight w:val="none"/>
        </w:rPr>
        <w:t>辆，其中：</w:t>
      </w:r>
      <w:r>
        <w:rPr>
          <w:rFonts w:ascii="Times New Roman" w:hAnsi="Times New Roman" w:eastAsia="仿宋_GB2312" w:cs="Times New Roman"/>
          <w:kern w:val="0"/>
          <w:sz w:val="30"/>
          <w:szCs w:val="30"/>
          <w:highlight w:val="none"/>
        </w:rPr>
        <w:t>副部（省）级及以上领导用车</w:t>
      </w:r>
      <w:r>
        <w:rPr>
          <w:rFonts w:hint="eastAsia" w:ascii="Times New Roman" w:hAnsi="Times New Roman" w:eastAsia="仿宋_GB2312" w:cs="Times New Roman"/>
          <w:kern w:val="0"/>
          <w:sz w:val="30"/>
          <w:szCs w:val="30"/>
          <w:highlight w:val="none"/>
          <w:lang w:eastAsia="zh-CN"/>
        </w:rPr>
        <w:t>0</w:t>
      </w:r>
      <w:r>
        <w:rPr>
          <w:rFonts w:ascii="Times New Roman" w:hAnsi="Times New Roman" w:eastAsia="仿宋_GB2312" w:cs="Times New Roman"/>
          <w:kern w:val="0"/>
          <w:sz w:val="30"/>
          <w:szCs w:val="30"/>
          <w:highlight w:val="none"/>
        </w:rPr>
        <w:t>辆</w:t>
      </w:r>
      <w:r>
        <w:rPr>
          <w:rFonts w:eastAsia="仿宋_GB2312"/>
          <w:sz w:val="30"/>
          <w:szCs w:val="30"/>
          <w:highlight w:val="none"/>
        </w:rPr>
        <w:t>、</w:t>
      </w:r>
      <w:r>
        <w:rPr>
          <w:rFonts w:ascii="Times New Roman" w:hAnsi="Times New Roman" w:eastAsia="仿宋_GB2312" w:cs="Times New Roman"/>
          <w:kern w:val="0"/>
          <w:sz w:val="30"/>
          <w:szCs w:val="30"/>
          <w:highlight w:val="none"/>
        </w:rPr>
        <w:t>主要</w:t>
      </w:r>
      <w:r>
        <w:rPr>
          <w:rFonts w:hint="eastAsia" w:ascii="Times New Roman" w:hAnsi="Times New Roman" w:eastAsia="仿宋_GB2312" w:cs="Times New Roman"/>
          <w:kern w:val="0"/>
          <w:sz w:val="30"/>
          <w:szCs w:val="30"/>
          <w:highlight w:val="none"/>
          <w:lang w:val="en-US" w:eastAsia="zh-CN"/>
        </w:rPr>
        <w:t>负责人</w:t>
      </w:r>
      <w:r>
        <w:rPr>
          <w:rFonts w:ascii="Times New Roman" w:hAnsi="Times New Roman" w:eastAsia="仿宋_GB2312" w:cs="Times New Roman"/>
          <w:kern w:val="0"/>
          <w:sz w:val="30"/>
          <w:szCs w:val="30"/>
          <w:highlight w:val="none"/>
        </w:rPr>
        <w:t>用车</w:t>
      </w:r>
      <w:r>
        <w:rPr>
          <w:rFonts w:hint="eastAsia" w:ascii="Times New Roman" w:hAnsi="Times New Roman" w:eastAsia="仿宋_GB2312" w:cs="Times New Roman"/>
          <w:kern w:val="0"/>
          <w:sz w:val="30"/>
          <w:szCs w:val="30"/>
          <w:highlight w:val="none"/>
          <w:lang w:eastAsia="zh-CN"/>
        </w:rPr>
        <w:t>0</w:t>
      </w:r>
      <w:r>
        <w:rPr>
          <w:rFonts w:ascii="Times New Roman" w:hAnsi="Times New Roman" w:eastAsia="仿宋_GB2312" w:cs="Times New Roman"/>
          <w:kern w:val="0"/>
          <w:sz w:val="30"/>
          <w:szCs w:val="30"/>
          <w:highlight w:val="none"/>
        </w:rPr>
        <w:t>辆</w:t>
      </w:r>
      <w:r>
        <w:rPr>
          <w:rFonts w:eastAsia="仿宋_GB2312"/>
          <w:sz w:val="30"/>
          <w:szCs w:val="30"/>
          <w:highlight w:val="none"/>
        </w:rPr>
        <w:t>、</w:t>
      </w:r>
      <w:r>
        <w:rPr>
          <w:rFonts w:ascii="Times New Roman" w:hAnsi="Times New Roman" w:eastAsia="仿宋_GB2312" w:cs="Times New Roman"/>
          <w:kern w:val="0"/>
          <w:sz w:val="30"/>
          <w:szCs w:val="30"/>
          <w:highlight w:val="none"/>
        </w:rPr>
        <w:t>机要通信用车</w:t>
      </w:r>
      <w:r>
        <w:rPr>
          <w:rFonts w:hint="eastAsia" w:ascii="Times New Roman" w:hAnsi="Times New Roman" w:eastAsia="仿宋_GB2312" w:cs="Times New Roman"/>
          <w:kern w:val="0"/>
          <w:sz w:val="30"/>
          <w:szCs w:val="30"/>
          <w:highlight w:val="none"/>
          <w:lang w:eastAsia="zh-CN"/>
        </w:rPr>
        <w:t>0</w:t>
      </w:r>
      <w:r>
        <w:rPr>
          <w:rFonts w:ascii="Times New Roman" w:hAnsi="Times New Roman" w:eastAsia="仿宋_GB2312" w:cs="Times New Roman"/>
          <w:kern w:val="0"/>
          <w:sz w:val="30"/>
          <w:szCs w:val="30"/>
          <w:highlight w:val="none"/>
        </w:rPr>
        <w:t>辆</w:t>
      </w:r>
      <w:r>
        <w:rPr>
          <w:rFonts w:eastAsia="仿宋_GB2312"/>
          <w:sz w:val="30"/>
          <w:szCs w:val="30"/>
          <w:highlight w:val="none"/>
        </w:rPr>
        <w:t>、</w:t>
      </w:r>
      <w:r>
        <w:rPr>
          <w:rFonts w:ascii="Times New Roman" w:hAnsi="Times New Roman" w:eastAsia="仿宋_GB2312" w:cs="Times New Roman"/>
          <w:kern w:val="0"/>
          <w:sz w:val="30"/>
          <w:szCs w:val="30"/>
          <w:highlight w:val="none"/>
        </w:rPr>
        <w:t>应急保障用车</w:t>
      </w:r>
      <w:r>
        <w:rPr>
          <w:rFonts w:hint="eastAsia" w:ascii="Times New Roman" w:hAnsi="Times New Roman" w:eastAsia="仿宋_GB2312" w:cs="Times New Roman"/>
          <w:kern w:val="0"/>
          <w:sz w:val="30"/>
          <w:szCs w:val="30"/>
          <w:highlight w:val="none"/>
          <w:lang w:eastAsia="zh-CN"/>
        </w:rPr>
        <w:t>0</w:t>
      </w:r>
      <w:r>
        <w:rPr>
          <w:rFonts w:ascii="Times New Roman" w:hAnsi="Times New Roman" w:eastAsia="仿宋_GB2312" w:cs="Times New Roman"/>
          <w:kern w:val="0"/>
          <w:sz w:val="30"/>
          <w:szCs w:val="30"/>
          <w:highlight w:val="none"/>
        </w:rPr>
        <w:t>辆</w:t>
      </w:r>
      <w:r>
        <w:rPr>
          <w:rFonts w:eastAsia="仿宋_GB2312"/>
          <w:sz w:val="30"/>
          <w:szCs w:val="30"/>
          <w:highlight w:val="none"/>
        </w:rPr>
        <w:t>、</w:t>
      </w:r>
      <w:r>
        <w:rPr>
          <w:rFonts w:ascii="Times New Roman" w:hAnsi="Times New Roman" w:eastAsia="仿宋_GB2312" w:cs="Times New Roman"/>
          <w:kern w:val="0"/>
          <w:sz w:val="30"/>
          <w:szCs w:val="30"/>
          <w:highlight w:val="none"/>
        </w:rPr>
        <w:t>执法执勤用车</w:t>
      </w:r>
      <w:r>
        <w:rPr>
          <w:rFonts w:hint="eastAsia" w:ascii="Times New Roman" w:hAnsi="Times New Roman" w:eastAsia="仿宋_GB2312" w:cs="Times New Roman"/>
          <w:kern w:val="0"/>
          <w:sz w:val="30"/>
          <w:szCs w:val="30"/>
          <w:highlight w:val="none"/>
          <w:lang w:eastAsia="zh-CN"/>
        </w:rPr>
        <w:t>0</w:t>
      </w:r>
      <w:r>
        <w:rPr>
          <w:rFonts w:ascii="Times New Roman" w:hAnsi="Times New Roman" w:eastAsia="仿宋_GB2312" w:cs="Times New Roman"/>
          <w:kern w:val="0"/>
          <w:sz w:val="30"/>
          <w:szCs w:val="30"/>
          <w:highlight w:val="none"/>
        </w:rPr>
        <w:t>辆</w:t>
      </w:r>
      <w:r>
        <w:rPr>
          <w:rFonts w:eastAsia="仿宋_GB2312"/>
          <w:sz w:val="30"/>
          <w:szCs w:val="30"/>
          <w:highlight w:val="none"/>
        </w:rPr>
        <w:t>、</w:t>
      </w:r>
      <w:r>
        <w:rPr>
          <w:rFonts w:ascii="Times New Roman" w:hAnsi="Times New Roman" w:eastAsia="仿宋_GB2312" w:cs="Times New Roman"/>
          <w:kern w:val="0"/>
          <w:sz w:val="30"/>
          <w:szCs w:val="30"/>
          <w:highlight w:val="none"/>
        </w:rPr>
        <w:t>特种专业技术用车</w:t>
      </w:r>
      <w:r>
        <w:rPr>
          <w:rFonts w:hint="eastAsia" w:ascii="Times New Roman" w:hAnsi="Times New Roman" w:eastAsia="仿宋_GB2312" w:cs="Times New Roman"/>
          <w:kern w:val="0"/>
          <w:sz w:val="30"/>
          <w:szCs w:val="30"/>
          <w:highlight w:val="none"/>
          <w:lang w:eastAsia="zh-CN"/>
        </w:rPr>
        <w:t>0</w:t>
      </w:r>
      <w:r>
        <w:rPr>
          <w:rFonts w:ascii="Times New Roman" w:hAnsi="Times New Roman" w:eastAsia="仿宋_GB2312" w:cs="Times New Roman"/>
          <w:kern w:val="0"/>
          <w:sz w:val="30"/>
          <w:szCs w:val="30"/>
          <w:highlight w:val="none"/>
        </w:rPr>
        <w:t>辆</w:t>
      </w:r>
      <w:r>
        <w:rPr>
          <w:rFonts w:eastAsia="仿宋_GB2312"/>
          <w:sz w:val="30"/>
          <w:szCs w:val="30"/>
          <w:highlight w:val="none"/>
        </w:rPr>
        <w:t>、</w:t>
      </w:r>
      <w:r>
        <w:rPr>
          <w:rFonts w:ascii="Times New Roman" w:hAnsi="Times New Roman" w:eastAsia="仿宋_GB2312" w:cs="Times New Roman"/>
          <w:kern w:val="0"/>
          <w:sz w:val="30"/>
          <w:szCs w:val="30"/>
          <w:highlight w:val="none"/>
        </w:rPr>
        <w:t>离退休干部</w:t>
      </w:r>
      <w:r>
        <w:rPr>
          <w:rFonts w:hint="eastAsia" w:ascii="Times New Roman" w:hAnsi="Times New Roman" w:eastAsia="仿宋_GB2312" w:cs="Times New Roman"/>
          <w:kern w:val="0"/>
          <w:sz w:val="30"/>
          <w:szCs w:val="30"/>
          <w:highlight w:val="none"/>
          <w:lang w:val="en-US" w:eastAsia="zh-CN"/>
        </w:rPr>
        <w:t>服务</w:t>
      </w:r>
      <w:r>
        <w:rPr>
          <w:rFonts w:ascii="Times New Roman" w:hAnsi="Times New Roman" w:eastAsia="仿宋_GB2312" w:cs="Times New Roman"/>
          <w:kern w:val="0"/>
          <w:sz w:val="30"/>
          <w:szCs w:val="30"/>
          <w:highlight w:val="none"/>
        </w:rPr>
        <w:t>用车</w:t>
      </w:r>
      <w:r>
        <w:rPr>
          <w:rFonts w:hint="eastAsia" w:ascii="Times New Roman" w:hAnsi="Times New Roman" w:eastAsia="仿宋_GB2312" w:cs="Times New Roman"/>
          <w:kern w:val="0"/>
          <w:sz w:val="30"/>
          <w:szCs w:val="30"/>
          <w:highlight w:val="none"/>
          <w:lang w:eastAsia="zh-CN"/>
        </w:rPr>
        <w:t>0</w:t>
      </w:r>
      <w:r>
        <w:rPr>
          <w:rFonts w:ascii="Times New Roman" w:hAnsi="Times New Roman" w:eastAsia="仿宋_GB2312" w:cs="Times New Roman"/>
          <w:kern w:val="0"/>
          <w:sz w:val="30"/>
          <w:szCs w:val="30"/>
          <w:highlight w:val="none"/>
        </w:rPr>
        <w:t>辆</w:t>
      </w:r>
      <w:r>
        <w:rPr>
          <w:rFonts w:eastAsia="仿宋_GB2312"/>
          <w:sz w:val="30"/>
          <w:szCs w:val="30"/>
          <w:highlight w:val="none"/>
        </w:rPr>
        <w:t>、</w:t>
      </w:r>
      <w:r>
        <w:rPr>
          <w:rFonts w:ascii="Times New Roman" w:hAnsi="Times New Roman" w:eastAsia="仿宋_GB2312" w:cs="Times New Roman"/>
          <w:kern w:val="0"/>
          <w:sz w:val="30"/>
          <w:szCs w:val="30"/>
          <w:highlight w:val="none"/>
        </w:rPr>
        <w:t>其他用车</w:t>
      </w:r>
      <w:r>
        <w:rPr>
          <w:rFonts w:hint="eastAsia" w:ascii="Times New Roman" w:hAnsi="Times New Roman" w:eastAsia="仿宋_GB2312" w:cs="Times New Roman"/>
          <w:kern w:val="0"/>
          <w:sz w:val="30"/>
          <w:szCs w:val="30"/>
          <w:highlight w:val="none"/>
          <w:lang w:eastAsia="zh-CN"/>
        </w:rPr>
        <w:t>65</w:t>
      </w:r>
      <w:r>
        <w:rPr>
          <w:rFonts w:ascii="Times New Roman" w:hAnsi="Times New Roman" w:eastAsia="仿宋_GB2312" w:cs="Times New Roman"/>
          <w:kern w:val="0"/>
          <w:sz w:val="30"/>
          <w:szCs w:val="30"/>
          <w:highlight w:val="none"/>
        </w:rPr>
        <w:t>辆</w:t>
      </w:r>
      <w:r>
        <w:rPr>
          <w:rFonts w:hint="eastAsia" w:ascii="Times New Roman" w:hAnsi="Times New Roman" w:eastAsia="仿宋_GB2312" w:cs="Times New Roman"/>
          <w:kern w:val="0"/>
          <w:sz w:val="30"/>
          <w:szCs w:val="30"/>
          <w:highlight w:val="none"/>
        </w:rPr>
        <w:t>，其他用车主要包括</w:t>
      </w:r>
      <w:r>
        <w:rPr>
          <w:rFonts w:hint="eastAsia" w:ascii="Times New Roman" w:hAnsi="Times New Roman" w:eastAsia="仿宋_GB2312" w:cs="仿宋_GB2312"/>
          <w:sz w:val="30"/>
          <w:szCs w:val="30"/>
          <w:highlight w:val="none"/>
          <w:lang w:eastAsia="zh-CN"/>
        </w:rPr>
        <w:t>救护车</w:t>
      </w:r>
      <w:r>
        <w:rPr>
          <w:rFonts w:hint="eastAsia" w:ascii="Times New Roman" w:hAnsi="Times New Roman" w:eastAsia="仿宋_GB2312" w:cs="仿宋_GB2312"/>
          <w:kern w:val="0"/>
          <w:sz w:val="30"/>
          <w:szCs w:val="30"/>
          <w:highlight w:val="none"/>
          <w:lang w:val="zh-CN"/>
        </w:rPr>
        <w:t>。</w:t>
      </w:r>
      <w:r>
        <w:rPr>
          <w:rFonts w:hint="eastAsia" w:ascii="Times New Roman" w:hAnsi="Times New Roman" w:eastAsia="仿宋_GB2312" w:cs="仿宋_GB2312"/>
          <w:kern w:val="0"/>
          <w:sz w:val="30"/>
          <w:szCs w:val="30"/>
          <w:highlight w:val="none"/>
        </w:rPr>
        <w:t>单价</w:t>
      </w:r>
      <w:r>
        <w:rPr>
          <w:rFonts w:ascii="Times New Roman" w:hAnsi="Times New Roman" w:eastAsia="仿宋_GB2312" w:cs="仿宋_GB2312"/>
          <w:kern w:val="0"/>
          <w:sz w:val="30"/>
          <w:szCs w:val="30"/>
          <w:highlight w:val="none"/>
        </w:rPr>
        <w:t>100</w:t>
      </w:r>
      <w:r>
        <w:rPr>
          <w:rFonts w:hint="eastAsia" w:ascii="Times New Roman" w:hAnsi="Times New Roman" w:eastAsia="仿宋_GB2312" w:cs="仿宋_GB2312"/>
          <w:kern w:val="0"/>
          <w:sz w:val="30"/>
          <w:szCs w:val="30"/>
          <w:highlight w:val="none"/>
        </w:rPr>
        <w:t>万元以上的设备</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台（套）。</w:t>
      </w:r>
    </w:p>
    <w:p w14:paraId="48512D5A">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十三、</w:t>
      </w:r>
      <w:r>
        <w:rPr>
          <w:rFonts w:hint="eastAsia" w:ascii="Times New Roman" w:hAnsi="Times New Roman" w:eastAsia="黑体" w:cs="黑体"/>
          <w:b/>
          <w:bCs/>
          <w:kern w:val="0"/>
          <w:sz w:val="30"/>
          <w:szCs w:val="30"/>
          <w:highlight w:val="none"/>
        </w:rPr>
        <w:t>预算绩效情况说明</w:t>
      </w:r>
    </w:p>
    <w:p w14:paraId="54D4A21D">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根据预算绩效管理要求，天津市滨海新区急救分中心2023年度已对8个项目开展部门评价，涉及金额42835400元。自评结果已随部门决算一并公开。</w:t>
      </w:r>
    </w:p>
    <w:p w14:paraId="44659AA2">
      <w:pPr>
        <w:keepNext/>
        <w:keepLines/>
        <w:autoSpaceDE w:val="0"/>
        <w:autoSpaceDN w:val="0"/>
        <w:adjustRightInd w:val="0"/>
        <w:spacing w:line="600" w:lineRule="exact"/>
        <w:ind w:firstLine="602"/>
        <w:jc w:val="left"/>
        <w:outlineLvl w:val="1"/>
        <w:rPr>
          <w:rFonts w:hint="eastAsia" w:ascii="Times New Roman" w:hAnsi="Times New Roman" w:eastAsia="仿宋_GB2312" w:cs="仿宋_GB2312"/>
          <w:kern w:val="0"/>
          <w:sz w:val="30"/>
          <w:szCs w:val="30"/>
          <w:highlight w:val="none"/>
        </w:rPr>
      </w:pPr>
      <w:r>
        <w:rPr>
          <w:rFonts w:hint="eastAsia" w:ascii="Times New Roman" w:hAnsi="Times New Roman" w:eastAsia="黑体" w:cs="黑体"/>
          <w:b/>
          <w:bCs/>
          <w:kern w:val="0"/>
          <w:sz w:val="30"/>
          <w:szCs w:val="30"/>
          <w:highlight w:val="none"/>
          <w:lang w:val="zh-CN"/>
        </w:rPr>
        <w:t>十四、</w:t>
      </w:r>
      <w:r>
        <w:rPr>
          <w:rFonts w:hint="eastAsia" w:ascii="Times New Roman" w:hAnsi="Times New Roman" w:eastAsia="黑体" w:cs="黑体"/>
          <w:b/>
          <w:bCs/>
          <w:kern w:val="0"/>
          <w:sz w:val="30"/>
          <w:szCs w:val="30"/>
          <w:highlight w:val="none"/>
        </w:rPr>
        <w:t>教育、医疗卫生、社会保障和就业、住房保障、涉农补贴等民生支出情况说明</w:t>
      </w:r>
    </w:p>
    <w:p w14:paraId="32D749ED">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天津市滨海新区急救分中心不属于乡、镇、街级单位，不涉及公开2023年度教育、医疗卫生、社会保障和就业、住房保障、涉农补贴等民生支出情况。</w:t>
      </w:r>
    </w:p>
    <w:p w14:paraId="448AA665">
      <w:pPr>
        <w:autoSpaceDE w:val="0"/>
        <w:autoSpaceDN w:val="0"/>
        <w:adjustRightInd w:val="0"/>
        <w:jc w:val="left"/>
        <w:rPr>
          <w:rFonts w:ascii="Times New Roman" w:hAnsi="Times New Roman" w:eastAsia="仿宋_GB2312" w:cs="仿宋_GB2312"/>
          <w:b/>
          <w:bCs/>
          <w:color w:val="000000"/>
          <w:kern w:val="0"/>
          <w:sz w:val="30"/>
          <w:szCs w:val="30"/>
          <w:highlight w:val="none"/>
        </w:rPr>
      </w:pPr>
      <w:r>
        <w:rPr>
          <w:rFonts w:ascii="Times New Roman" w:hAnsi="Times New Roman" w:eastAsia="仿宋_GB2312" w:cs="仿宋_GB2312"/>
          <w:b/>
          <w:bCs/>
          <w:color w:val="000000"/>
          <w:kern w:val="0"/>
          <w:sz w:val="30"/>
          <w:szCs w:val="30"/>
          <w:highlight w:val="none"/>
        </w:rPr>
        <w:br w:type="page"/>
      </w:r>
    </w:p>
    <w:p w14:paraId="795B0F80">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第四部分名词解释</w:t>
      </w:r>
    </w:p>
    <w:p w14:paraId="7D3C1753">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p>
    <w:p w14:paraId="3D829C83">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val="en-US" w:eastAsia="zh-CN"/>
        </w:rPr>
        <w:t>1</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6D56B035">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2.</w:t>
      </w:r>
      <w:r>
        <w:rPr>
          <w:rFonts w:hint="eastAsia" w:ascii="Times New Roman" w:hAnsi="Times New Roman" w:eastAsia="仿宋_GB2312" w:cs="仿宋_GB2312"/>
          <w:kern w:val="0"/>
          <w:sz w:val="30"/>
          <w:szCs w:val="30"/>
          <w:highlight w:val="none"/>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5A5ACFE8">
      <w:pPr>
        <w:autoSpaceDE w:val="0"/>
        <w:autoSpaceDN w:val="0"/>
        <w:adjustRightInd w:val="0"/>
        <w:spacing w:line="600" w:lineRule="exact"/>
        <w:ind w:firstLine="600"/>
        <w:jc w:val="left"/>
        <w:rPr>
          <w:rFonts w:ascii="Times New Roman" w:hAnsi="Times New Roman"/>
          <w:highlight w:val="none"/>
        </w:rPr>
      </w:pPr>
      <w:r>
        <w:rPr>
          <w:rFonts w:ascii="Times New Roman" w:hAnsi="Times New Roman" w:eastAsia="仿宋_GB2312" w:cs="仿宋_GB2312"/>
          <w:kern w:val="0"/>
          <w:sz w:val="30"/>
          <w:szCs w:val="30"/>
          <w:highlight w:val="none"/>
        </w:rPr>
        <w:t>3.“</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4ZjdmZmVjYTAzMzBhNjQ5NDYyNjRmYTFlNTJjOTEifQ=="/>
  </w:docVars>
  <w:rsids>
    <w:rsidRoot w:val="006A094D"/>
    <w:rsid w:val="00013A12"/>
    <w:rsid w:val="0002687D"/>
    <w:rsid w:val="00047C6F"/>
    <w:rsid w:val="000528EE"/>
    <w:rsid w:val="000719FD"/>
    <w:rsid w:val="000B5C71"/>
    <w:rsid w:val="000D4B98"/>
    <w:rsid w:val="00127EFA"/>
    <w:rsid w:val="00142888"/>
    <w:rsid w:val="00152EEB"/>
    <w:rsid w:val="00153077"/>
    <w:rsid w:val="00167CB7"/>
    <w:rsid w:val="001A0E4F"/>
    <w:rsid w:val="001B5C3C"/>
    <w:rsid w:val="001C0399"/>
    <w:rsid w:val="001D587E"/>
    <w:rsid w:val="002124F6"/>
    <w:rsid w:val="00264B59"/>
    <w:rsid w:val="002A4997"/>
    <w:rsid w:val="002E6086"/>
    <w:rsid w:val="00302490"/>
    <w:rsid w:val="003227B2"/>
    <w:rsid w:val="003536BE"/>
    <w:rsid w:val="003B25FB"/>
    <w:rsid w:val="004A482F"/>
    <w:rsid w:val="004F39BF"/>
    <w:rsid w:val="005062D7"/>
    <w:rsid w:val="005175E6"/>
    <w:rsid w:val="00525157"/>
    <w:rsid w:val="005349A2"/>
    <w:rsid w:val="00575537"/>
    <w:rsid w:val="005D1367"/>
    <w:rsid w:val="005D3F56"/>
    <w:rsid w:val="00654D17"/>
    <w:rsid w:val="006623EC"/>
    <w:rsid w:val="006A094D"/>
    <w:rsid w:val="006D2409"/>
    <w:rsid w:val="006E65DB"/>
    <w:rsid w:val="00776FF3"/>
    <w:rsid w:val="0078156E"/>
    <w:rsid w:val="00786E74"/>
    <w:rsid w:val="007D1285"/>
    <w:rsid w:val="007E49E1"/>
    <w:rsid w:val="007F6DA7"/>
    <w:rsid w:val="008174D5"/>
    <w:rsid w:val="00885126"/>
    <w:rsid w:val="0089698B"/>
    <w:rsid w:val="008D48A9"/>
    <w:rsid w:val="00941A30"/>
    <w:rsid w:val="00977DCC"/>
    <w:rsid w:val="009820CF"/>
    <w:rsid w:val="00982A8B"/>
    <w:rsid w:val="009A7ED3"/>
    <w:rsid w:val="009D74D7"/>
    <w:rsid w:val="00A57AE7"/>
    <w:rsid w:val="00AF71AE"/>
    <w:rsid w:val="00B33C70"/>
    <w:rsid w:val="00B75228"/>
    <w:rsid w:val="00B811F1"/>
    <w:rsid w:val="00B81B9F"/>
    <w:rsid w:val="00BC763A"/>
    <w:rsid w:val="00BC7D6F"/>
    <w:rsid w:val="00BD3CAC"/>
    <w:rsid w:val="00BF697A"/>
    <w:rsid w:val="00C52E77"/>
    <w:rsid w:val="00C65A44"/>
    <w:rsid w:val="00C76AC3"/>
    <w:rsid w:val="00C83EB4"/>
    <w:rsid w:val="00D4505A"/>
    <w:rsid w:val="00D65B41"/>
    <w:rsid w:val="00DC3234"/>
    <w:rsid w:val="00DC3CD0"/>
    <w:rsid w:val="00DD60B5"/>
    <w:rsid w:val="00E7602B"/>
    <w:rsid w:val="00E964B2"/>
    <w:rsid w:val="00EA6549"/>
    <w:rsid w:val="00F007FE"/>
    <w:rsid w:val="017D4A3B"/>
    <w:rsid w:val="01A10E80"/>
    <w:rsid w:val="029D518A"/>
    <w:rsid w:val="03311B3F"/>
    <w:rsid w:val="03901927"/>
    <w:rsid w:val="05CA273A"/>
    <w:rsid w:val="05E55C53"/>
    <w:rsid w:val="069A035E"/>
    <w:rsid w:val="07267E44"/>
    <w:rsid w:val="07425D24"/>
    <w:rsid w:val="07A23238"/>
    <w:rsid w:val="085D1644"/>
    <w:rsid w:val="0A7D5D1A"/>
    <w:rsid w:val="0AF018E5"/>
    <w:rsid w:val="0B1428B6"/>
    <w:rsid w:val="0B2716A6"/>
    <w:rsid w:val="0B2E72C7"/>
    <w:rsid w:val="0C411F0C"/>
    <w:rsid w:val="0CDD71F7"/>
    <w:rsid w:val="0D664210"/>
    <w:rsid w:val="0DA7267B"/>
    <w:rsid w:val="0DFB4FC0"/>
    <w:rsid w:val="0E267459"/>
    <w:rsid w:val="0EBB5316"/>
    <w:rsid w:val="0F4936D8"/>
    <w:rsid w:val="0FC42B69"/>
    <w:rsid w:val="0FF22FB9"/>
    <w:rsid w:val="118916FB"/>
    <w:rsid w:val="1221675E"/>
    <w:rsid w:val="12C34799"/>
    <w:rsid w:val="12D93FBD"/>
    <w:rsid w:val="13463246"/>
    <w:rsid w:val="142D4C1F"/>
    <w:rsid w:val="15F1161D"/>
    <w:rsid w:val="161D1413"/>
    <w:rsid w:val="1666200B"/>
    <w:rsid w:val="16C5644A"/>
    <w:rsid w:val="16D76A65"/>
    <w:rsid w:val="17C84C4C"/>
    <w:rsid w:val="1949378C"/>
    <w:rsid w:val="199A3054"/>
    <w:rsid w:val="1A1104E0"/>
    <w:rsid w:val="1A404E9F"/>
    <w:rsid w:val="1AA54268"/>
    <w:rsid w:val="1B173F14"/>
    <w:rsid w:val="1B4641B9"/>
    <w:rsid w:val="1B520DB0"/>
    <w:rsid w:val="1B5D5A1E"/>
    <w:rsid w:val="1B7A68EC"/>
    <w:rsid w:val="1CCA277E"/>
    <w:rsid w:val="1DFB572F"/>
    <w:rsid w:val="1EC5396A"/>
    <w:rsid w:val="1EFB0588"/>
    <w:rsid w:val="20DB5BFD"/>
    <w:rsid w:val="21365D81"/>
    <w:rsid w:val="21556D90"/>
    <w:rsid w:val="21C24E94"/>
    <w:rsid w:val="21D73FEC"/>
    <w:rsid w:val="23736675"/>
    <w:rsid w:val="24B227A0"/>
    <w:rsid w:val="25BA7C7E"/>
    <w:rsid w:val="2666570F"/>
    <w:rsid w:val="26DB4B05"/>
    <w:rsid w:val="271B299E"/>
    <w:rsid w:val="27DD7C53"/>
    <w:rsid w:val="284E3F62"/>
    <w:rsid w:val="28612632"/>
    <w:rsid w:val="2A924D25"/>
    <w:rsid w:val="2BC20F83"/>
    <w:rsid w:val="2C800474"/>
    <w:rsid w:val="2C8F0671"/>
    <w:rsid w:val="2D5A0475"/>
    <w:rsid w:val="2DA05507"/>
    <w:rsid w:val="2E487134"/>
    <w:rsid w:val="2E8C3709"/>
    <w:rsid w:val="2F146650"/>
    <w:rsid w:val="2FA13000"/>
    <w:rsid w:val="2FC74096"/>
    <w:rsid w:val="2FF951BC"/>
    <w:rsid w:val="307A24E3"/>
    <w:rsid w:val="307A6987"/>
    <w:rsid w:val="30BB5227"/>
    <w:rsid w:val="313F372D"/>
    <w:rsid w:val="32146967"/>
    <w:rsid w:val="32443D30"/>
    <w:rsid w:val="324A2E0F"/>
    <w:rsid w:val="32672F3B"/>
    <w:rsid w:val="33032C66"/>
    <w:rsid w:val="332D3FC0"/>
    <w:rsid w:val="354D7E20"/>
    <w:rsid w:val="35747E49"/>
    <w:rsid w:val="35823AFA"/>
    <w:rsid w:val="358C1096"/>
    <w:rsid w:val="35B6328D"/>
    <w:rsid w:val="35F44AE6"/>
    <w:rsid w:val="36144696"/>
    <w:rsid w:val="36580FD3"/>
    <w:rsid w:val="381E22EE"/>
    <w:rsid w:val="3AF76503"/>
    <w:rsid w:val="3B0209DD"/>
    <w:rsid w:val="3B0C198B"/>
    <w:rsid w:val="3B483C6E"/>
    <w:rsid w:val="3B776F10"/>
    <w:rsid w:val="3B7C7A57"/>
    <w:rsid w:val="3B8E1539"/>
    <w:rsid w:val="3D600CB3"/>
    <w:rsid w:val="3E426F14"/>
    <w:rsid w:val="3EB42189"/>
    <w:rsid w:val="3EC62D97"/>
    <w:rsid w:val="3EEF0B4C"/>
    <w:rsid w:val="3EF16375"/>
    <w:rsid w:val="3F2006FA"/>
    <w:rsid w:val="40CF0629"/>
    <w:rsid w:val="4137238C"/>
    <w:rsid w:val="41CC0838"/>
    <w:rsid w:val="43612B5A"/>
    <w:rsid w:val="43805C0B"/>
    <w:rsid w:val="43B835F7"/>
    <w:rsid w:val="44552CED"/>
    <w:rsid w:val="44EB17AA"/>
    <w:rsid w:val="45984C48"/>
    <w:rsid w:val="47727F60"/>
    <w:rsid w:val="485D29BF"/>
    <w:rsid w:val="48BA3BD6"/>
    <w:rsid w:val="49374433"/>
    <w:rsid w:val="49DA103E"/>
    <w:rsid w:val="4A2319E6"/>
    <w:rsid w:val="4A8E57CD"/>
    <w:rsid w:val="4B3D495D"/>
    <w:rsid w:val="4CA13CE1"/>
    <w:rsid w:val="4CD450D8"/>
    <w:rsid w:val="4D14664A"/>
    <w:rsid w:val="4D210FC7"/>
    <w:rsid w:val="4D720D77"/>
    <w:rsid w:val="4DB9688D"/>
    <w:rsid w:val="4E4E3945"/>
    <w:rsid w:val="4E8C7B5A"/>
    <w:rsid w:val="4F167E2F"/>
    <w:rsid w:val="4F391364"/>
    <w:rsid w:val="4FA424E7"/>
    <w:rsid w:val="4FBD62FD"/>
    <w:rsid w:val="4FD337AC"/>
    <w:rsid w:val="4FE523CE"/>
    <w:rsid w:val="5236167C"/>
    <w:rsid w:val="52A37398"/>
    <w:rsid w:val="53C102A5"/>
    <w:rsid w:val="54380029"/>
    <w:rsid w:val="54A61249"/>
    <w:rsid w:val="54F16968"/>
    <w:rsid w:val="55AC416B"/>
    <w:rsid w:val="564C0516"/>
    <w:rsid w:val="5713248B"/>
    <w:rsid w:val="57833AC4"/>
    <w:rsid w:val="578735B4"/>
    <w:rsid w:val="58C3061C"/>
    <w:rsid w:val="58E93DFA"/>
    <w:rsid w:val="599E4BE5"/>
    <w:rsid w:val="5A1C0F73"/>
    <w:rsid w:val="5A964C59"/>
    <w:rsid w:val="5C170425"/>
    <w:rsid w:val="5CD612EB"/>
    <w:rsid w:val="5D032E6E"/>
    <w:rsid w:val="5DC66F7C"/>
    <w:rsid w:val="5DFB2606"/>
    <w:rsid w:val="5E015742"/>
    <w:rsid w:val="5EB1144C"/>
    <w:rsid w:val="5EF37781"/>
    <w:rsid w:val="5F6D7131"/>
    <w:rsid w:val="5F7856C5"/>
    <w:rsid w:val="5FF67529"/>
    <w:rsid w:val="615900E7"/>
    <w:rsid w:val="61D75AE1"/>
    <w:rsid w:val="620B43D3"/>
    <w:rsid w:val="624C1682"/>
    <w:rsid w:val="62A67333"/>
    <w:rsid w:val="63B80927"/>
    <w:rsid w:val="643C1F0A"/>
    <w:rsid w:val="644D16E1"/>
    <w:rsid w:val="64925346"/>
    <w:rsid w:val="654D2EBE"/>
    <w:rsid w:val="654E5711"/>
    <w:rsid w:val="656942F9"/>
    <w:rsid w:val="65B558C0"/>
    <w:rsid w:val="665D659A"/>
    <w:rsid w:val="667274BD"/>
    <w:rsid w:val="66BC2A82"/>
    <w:rsid w:val="672E57FA"/>
    <w:rsid w:val="68200AB4"/>
    <w:rsid w:val="68C169D0"/>
    <w:rsid w:val="6B4F5D3F"/>
    <w:rsid w:val="6B963EB9"/>
    <w:rsid w:val="6BBB51FE"/>
    <w:rsid w:val="6BF54B38"/>
    <w:rsid w:val="6C054650"/>
    <w:rsid w:val="6C1D5E3D"/>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55465F"/>
    <w:rsid w:val="75AB44BA"/>
    <w:rsid w:val="79B7155B"/>
    <w:rsid w:val="79DC07A5"/>
    <w:rsid w:val="7ACA53E2"/>
    <w:rsid w:val="7B143565"/>
    <w:rsid w:val="7E2E7A36"/>
    <w:rsid w:val="7E703A39"/>
    <w:rsid w:val="7F3217A8"/>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9"/>
    <w:qFormat/>
    <w:uiPriority w:val="99"/>
    <w:pPr>
      <w:autoSpaceDE w:val="0"/>
      <w:autoSpaceDN w:val="0"/>
      <w:adjustRightInd w:val="0"/>
      <w:jc w:val="left"/>
      <w:outlineLvl w:val="0"/>
    </w:pPr>
    <w:rPr>
      <w:rFonts w:ascii="方正小标宋简体" w:eastAsia="方正小标宋简体"/>
      <w:kern w:val="0"/>
      <w:sz w:val="24"/>
      <w:szCs w:val="24"/>
    </w:rPr>
  </w:style>
  <w:style w:type="paragraph" w:styleId="3">
    <w:name w:val="heading 2"/>
    <w:basedOn w:val="1"/>
    <w:next w:val="1"/>
    <w:link w:val="10"/>
    <w:qFormat/>
    <w:uiPriority w:val="99"/>
    <w:pPr>
      <w:autoSpaceDE w:val="0"/>
      <w:autoSpaceDN w:val="0"/>
      <w:adjustRightInd w:val="0"/>
      <w:jc w:val="left"/>
      <w:outlineLvl w:val="1"/>
    </w:pPr>
    <w:rPr>
      <w:rFonts w:ascii="方正小标宋简体" w:eastAsia="方正小标宋简体"/>
      <w:kern w:val="0"/>
      <w:sz w:val="24"/>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tabs>
        <w:tab w:val="center" w:pos="4153"/>
        <w:tab w:val="right" w:pos="8306"/>
      </w:tabs>
      <w:snapToGrid w:val="0"/>
      <w:jc w:val="center"/>
    </w:pPr>
    <w:rPr>
      <w:sz w:val="18"/>
      <w:szCs w:val="18"/>
    </w:rPr>
  </w:style>
  <w:style w:type="character" w:customStyle="1" w:styleId="9">
    <w:name w:val="标题 1 字符"/>
    <w:basedOn w:val="8"/>
    <w:link w:val="2"/>
    <w:qFormat/>
    <w:uiPriority w:val="99"/>
    <w:rPr>
      <w:rFonts w:ascii="方正小标宋简体" w:eastAsia="方正小标宋简体"/>
      <w:kern w:val="0"/>
      <w:sz w:val="24"/>
      <w:szCs w:val="24"/>
    </w:rPr>
  </w:style>
  <w:style w:type="character" w:customStyle="1" w:styleId="10">
    <w:name w:val="标题 2 字符"/>
    <w:basedOn w:val="8"/>
    <w:link w:val="3"/>
    <w:qFormat/>
    <w:uiPriority w:val="99"/>
    <w:rPr>
      <w:rFonts w:ascii="方正小标宋简体" w:eastAsia="方正小标宋简体"/>
      <w:kern w:val="0"/>
      <w:sz w:val="24"/>
      <w:szCs w:val="24"/>
    </w:rPr>
  </w:style>
  <w:style w:type="character" w:customStyle="1" w:styleId="11">
    <w:name w:val="页眉 字符"/>
    <w:basedOn w:val="8"/>
    <w:link w:val="6"/>
    <w:qFormat/>
    <w:uiPriority w:val="99"/>
    <w:rPr>
      <w:sz w:val="18"/>
      <w:szCs w:val="18"/>
    </w:rPr>
  </w:style>
  <w:style w:type="character" w:customStyle="1" w:styleId="12">
    <w:name w:val="页脚 字符"/>
    <w:basedOn w:val="8"/>
    <w:link w:val="5"/>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4227</Words>
  <Characters>4946</Characters>
  <Lines>82</Lines>
  <Paragraphs>23</Paragraphs>
  <TotalTime>0</TotalTime>
  <ScaleCrop>false</ScaleCrop>
  <LinksUpToDate>false</LinksUpToDate>
  <CharactersWithSpaces>4986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2023-08-11T08:11:00Z</dcterms:created>
  <dc:creator>office</dc:creator>
  <cp:lastModifiedBy>问号</cp:lastModifiedBy>
  <dcterms:modified xsi:type="dcterms:W3CDTF">2025-11-05T09:02:45Z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A44E0A178634409BBBA50D5636087390_13</vt:lpwstr>
  </property>
</Properties>
</file>