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5D5B6">
      <w:pPr>
        <w:autoSpaceDE w:val="0"/>
        <w:autoSpaceDN w:val="0"/>
        <w:adjustRightInd w:val="0"/>
        <w:jc w:val="center"/>
        <w:rPr>
          <w:rFonts w:ascii="Times New Roman" w:hAnsi="Times New Roman" w:eastAsia="方正小标宋简体" w:cs="方正小标宋简体"/>
          <w:kern w:val="0"/>
          <w:sz w:val="48"/>
          <w:szCs w:val="48"/>
          <w:lang w:val="zh-CN"/>
        </w:rPr>
      </w:pPr>
    </w:p>
    <w:p w14:paraId="3CFCBF05">
      <w:pPr>
        <w:autoSpaceDE w:val="0"/>
        <w:autoSpaceDN w:val="0"/>
        <w:adjustRightInd w:val="0"/>
        <w:jc w:val="center"/>
        <w:rPr>
          <w:rFonts w:ascii="Times New Roman" w:hAnsi="Times New Roman" w:eastAsia="方正小标宋简体" w:cs="方正小标宋简体"/>
          <w:kern w:val="0"/>
          <w:sz w:val="48"/>
          <w:szCs w:val="48"/>
          <w:lang w:val="zh-CN"/>
        </w:rPr>
      </w:pPr>
    </w:p>
    <w:p w14:paraId="2BD18818">
      <w:pPr>
        <w:autoSpaceDE w:val="0"/>
        <w:autoSpaceDN w:val="0"/>
        <w:adjustRightInd w:val="0"/>
        <w:jc w:val="center"/>
        <w:rPr>
          <w:rFonts w:ascii="Times New Roman" w:hAnsi="Times New Roman" w:eastAsia="方正小标宋简体" w:cs="方正小标宋简体"/>
          <w:kern w:val="0"/>
          <w:sz w:val="48"/>
          <w:szCs w:val="48"/>
          <w:lang w:val="zh-CN"/>
        </w:rPr>
      </w:pPr>
    </w:p>
    <w:p w14:paraId="055EAA07">
      <w:pPr>
        <w:autoSpaceDE w:val="0"/>
        <w:autoSpaceDN w:val="0"/>
        <w:adjustRightInd w:val="0"/>
        <w:jc w:val="center"/>
        <w:rPr>
          <w:rFonts w:ascii="Times New Roman" w:hAnsi="Times New Roman" w:eastAsia="方正小标宋简体" w:cs="方正小标宋简体"/>
          <w:kern w:val="0"/>
          <w:sz w:val="48"/>
          <w:szCs w:val="48"/>
          <w:lang w:val="zh-CN"/>
        </w:rPr>
      </w:pPr>
    </w:p>
    <w:p w14:paraId="448E9571">
      <w:pPr>
        <w:autoSpaceDE w:val="0"/>
        <w:autoSpaceDN w:val="0"/>
        <w:adjustRightInd w:val="0"/>
        <w:jc w:val="center"/>
        <w:rPr>
          <w:rFonts w:ascii="Times New Roman" w:hAnsi="Times New Roman" w:eastAsia="方正小标宋简体" w:cs="方正小标宋简体"/>
          <w:kern w:val="0"/>
          <w:sz w:val="48"/>
          <w:szCs w:val="48"/>
          <w:lang w:val="zh-CN"/>
        </w:rPr>
      </w:pPr>
    </w:p>
    <w:p w14:paraId="3FEFE27B">
      <w:pPr>
        <w:autoSpaceDE w:val="0"/>
        <w:autoSpaceDN w:val="0"/>
        <w:adjustRightInd w:val="0"/>
        <w:jc w:val="center"/>
        <w:rPr>
          <w:rFonts w:ascii="Times New Roman" w:hAnsi="Times New Roman" w:eastAsia="方正小标宋简体" w:cs="方正小标宋简体"/>
          <w:kern w:val="0"/>
          <w:sz w:val="48"/>
          <w:szCs w:val="48"/>
          <w:lang w:val="zh-CN"/>
        </w:rPr>
      </w:pPr>
    </w:p>
    <w:p w14:paraId="7DF4D227">
      <w:pPr>
        <w:autoSpaceDE w:val="0"/>
        <w:autoSpaceDN w:val="0"/>
        <w:adjustRightInd w:val="0"/>
        <w:jc w:val="center"/>
        <w:rPr>
          <w:rFonts w:ascii="Times New Roman" w:hAnsi="Times New Roman" w:eastAsia="方正小标宋简体" w:cs="方正小标宋简体"/>
          <w:kern w:val="0"/>
          <w:sz w:val="48"/>
          <w:szCs w:val="48"/>
          <w:lang w:val="zh-CN"/>
        </w:rPr>
      </w:pPr>
    </w:p>
    <w:p w14:paraId="2941DF03">
      <w:pPr>
        <w:autoSpaceDE w:val="0"/>
        <w:autoSpaceDN w:val="0"/>
        <w:adjustRightInd w:val="0"/>
        <w:jc w:val="center"/>
        <w:rPr>
          <w:rFonts w:ascii="Times New Roman" w:hAnsi="Times New Roman" w:eastAsia="方正小标宋简体" w:cs="方正小标宋简体"/>
          <w:kern w:val="0"/>
          <w:sz w:val="48"/>
          <w:szCs w:val="48"/>
          <w:lang w:val="zh-CN"/>
        </w:rPr>
      </w:pPr>
    </w:p>
    <w:p w14:paraId="71380EA7">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天津市滨海新区大港中医医院2023年度</w:t>
      </w:r>
    </w:p>
    <w:p w14:paraId="271540CD">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部门决算</w:t>
      </w:r>
    </w:p>
    <w:p w14:paraId="1DAEE3FD">
      <w:pPr>
        <w:autoSpaceDE w:val="0"/>
        <w:autoSpaceDN w:val="0"/>
        <w:adjustRightInd w:val="0"/>
        <w:spacing w:line="580" w:lineRule="exact"/>
        <w:jc w:val="center"/>
        <w:rPr>
          <w:rFonts w:ascii="Times New Roman" w:hAnsi="Times New Roman" w:eastAsia="黑体" w:cs="黑体"/>
          <w:sz w:val="30"/>
          <w:szCs w:val="30"/>
        </w:rPr>
      </w:pPr>
    </w:p>
    <w:p w14:paraId="498F50AD">
      <w:pPr>
        <w:autoSpaceDE w:val="0"/>
        <w:autoSpaceDN w:val="0"/>
        <w:adjustRightInd w:val="0"/>
        <w:spacing w:line="580" w:lineRule="exact"/>
        <w:jc w:val="center"/>
        <w:rPr>
          <w:rFonts w:ascii="Times New Roman" w:hAnsi="Times New Roman" w:eastAsia="黑体" w:cs="黑体"/>
          <w:sz w:val="30"/>
          <w:szCs w:val="30"/>
        </w:rPr>
      </w:pPr>
    </w:p>
    <w:p w14:paraId="3986DDC0">
      <w:pPr>
        <w:autoSpaceDE w:val="0"/>
        <w:autoSpaceDN w:val="0"/>
        <w:adjustRightInd w:val="0"/>
        <w:spacing w:line="580" w:lineRule="exact"/>
        <w:jc w:val="center"/>
        <w:rPr>
          <w:rFonts w:ascii="Times New Roman" w:hAnsi="Times New Roman" w:eastAsia="黑体" w:cs="黑体"/>
          <w:sz w:val="30"/>
          <w:szCs w:val="30"/>
        </w:rPr>
      </w:pPr>
    </w:p>
    <w:p w14:paraId="6751BD10">
      <w:pPr>
        <w:autoSpaceDE w:val="0"/>
        <w:autoSpaceDN w:val="0"/>
        <w:adjustRightInd w:val="0"/>
        <w:spacing w:line="580" w:lineRule="exact"/>
        <w:jc w:val="center"/>
        <w:rPr>
          <w:rFonts w:ascii="Times New Roman" w:hAnsi="Times New Roman" w:eastAsia="黑体" w:cs="黑体"/>
          <w:sz w:val="30"/>
          <w:szCs w:val="30"/>
        </w:rPr>
      </w:pPr>
    </w:p>
    <w:p w14:paraId="472F546B">
      <w:pPr>
        <w:autoSpaceDE w:val="0"/>
        <w:autoSpaceDN w:val="0"/>
        <w:adjustRightInd w:val="0"/>
        <w:spacing w:line="580" w:lineRule="exact"/>
        <w:jc w:val="center"/>
        <w:rPr>
          <w:rFonts w:ascii="Times New Roman" w:hAnsi="Times New Roman" w:eastAsia="黑体" w:cs="黑体"/>
          <w:sz w:val="30"/>
          <w:szCs w:val="30"/>
        </w:rPr>
      </w:pPr>
    </w:p>
    <w:p w14:paraId="7FE5EF63">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12FEA1D6">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774E7A78">
      <w:pPr>
        <w:autoSpaceDE w:val="0"/>
        <w:autoSpaceDN w:val="0"/>
        <w:adjustRightInd w:val="0"/>
        <w:spacing w:line="600" w:lineRule="exact"/>
        <w:jc w:val="left"/>
        <w:rPr>
          <w:rFonts w:ascii="Times New Roman" w:hAnsi="Times New Roman" w:eastAsia="黑体" w:cs="黑体"/>
          <w:kern w:val="0"/>
          <w:sz w:val="30"/>
          <w:szCs w:val="30"/>
        </w:rPr>
      </w:pPr>
    </w:p>
    <w:p w14:paraId="0AFB3623">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59AB4AB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610EEE0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5FF784F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3A6DEEA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2E039DC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74930CD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22B42CF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180540B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5526D81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079FF53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4163B83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3D97374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2548792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4B776F4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065152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281A23F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276A146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0CB8B61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6995643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6A7DA9E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04AD65F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3E39611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1038685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3D85131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29F3DC8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37D66EC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14DB41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5DE947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7ABBF4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56EA048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69EBE54C">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1B231B67">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F7FA76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14:paraId="34281196">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3C224352">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为人民身体健康提供医疗与护理服务。医疗与护理、卫生医疗培训、卫生技术人员继续教育保健与健康教育。</w:t>
      </w:r>
    </w:p>
    <w:p w14:paraId="2416D69B">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6277F46A">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职能科室内设8个党建办公室，办公室，财务物价科，医务科，医保科，门急诊办公室，护理部，感染管理科；下辖0个预算单位。纳入天津市滨海新区大港中医医院2023年度部门决算编制范围的单位包括：</w:t>
      </w:r>
    </w:p>
    <w:p w14:paraId="26AB1C01">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w:t>
      </w:r>
    </w:p>
    <w:p w14:paraId="14D69682">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2D0807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14:paraId="0FEDEB67">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0BF9EF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31B3CCA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0157C2D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4BC379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1F832F5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18CF96D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16423FE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34687CC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59F9DD4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61C607B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519B5E2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6E8820DB">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53D2FDC9">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3D1F6F8B">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1.天津市滨海新区大港中医医院2023年度政府性基金预算财政拨款收入支出决算表为空表。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2.天津市滨海新区大港中医医院2023年度国有资本经营预算财政拨款收入支出决算表为空表。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3.天津市滨海新区大港中医医院2023年度财政拨款“三公”经费支出决算表为空表。</w:t>
      </w:r>
    </w:p>
    <w:p w14:paraId="7994D4CB">
      <w:pPr>
        <w:autoSpaceDE w:val="0"/>
        <w:autoSpaceDN w:val="0"/>
        <w:adjustRightInd w:val="0"/>
        <w:spacing w:line="600" w:lineRule="exact"/>
        <w:ind w:firstLine="601"/>
        <w:jc w:val="left"/>
        <w:rPr>
          <w:rFonts w:ascii="Times New Roman" w:hAnsi="Times New Roman" w:eastAsia="仿宋_GB2312" w:cs="仿宋_GB2312"/>
          <w:sz w:val="30"/>
          <w:szCs w:val="30"/>
        </w:rPr>
      </w:pPr>
    </w:p>
    <w:p w14:paraId="4FAF320D">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14:paraId="7DFC87DF">
      <w:pPr>
        <w:autoSpaceDE w:val="0"/>
        <w:autoSpaceDN w:val="0"/>
        <w:adjustRightInd w:val="0"/>
        <w:spacing w:line="580" w:lineRule="exact"/>
        <w:ind w:firstLine="600"/>
        <w:jc w:val="left"/>
        <w:rPr>
          <w:rFonts w:ascii="Times New Roman" w:hAnsi="Times New Roman" w:eastAsia="黑体" w:cs="黑体"/>
          <w:sz w:val="30"/>
          <w:szCs w:val="30"/>
          <w:lang w:val="zh-CN"/>
        </w:rPr>
      </w:pPr>
    </w:p>
    <w:p w14:paraId="3A50250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19E8E285">
      <w:pPr>
        <w:autoSpaceDE w:val="0"/>
        <w:autoSpaceDN w:val="0"/>
        <w:adjustRightInd w:val="0"/>
        <w:spacing w:line="60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天津市滨海新区大港中医医院2023年度收入、支出决算总计</w:t>
      </w:r>
      <w:r>
        <w:rPr>
          <w:rFonts w:hint="eastAsia" w:ascii="Times New Roman" w:hAnsi="Times New Roman" w:eastAsia="仿宋_GB2312" w:cs="仿宋_GB2312"/>
          <w:sz w:val="30"/>
          <w:szCs w:val="30"/>
        </w:rPr>
        <w:t>103,141,978.93元，与2022年度相比，收、支总计各增加15,673,492.95元，增长17.92%，</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：2023年度年初结转结余大于2022年度年初结转结余。</w:t>
      </w:r>
    </w:p>
    <w:p w14:paraId="45435A4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07FF2AF9">
      <w:pPr>
        <w:autoSpaceDE w:val="0"/>
        <w:autoSpaceDN w:val="0"/>
        <w:adjustRightInd w:val="0"/>
        <w:spacing w:line="60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天津市滨海新区大港中医医院</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85,531,212.37</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年度相比减少1,937,273.61元，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：财政拨款收入减少主要是财政项目拨款减少。其他收入减少主要是利息收入减少。</w:t>
      </w:r>
    </w:p>
    <w:p w14:paraId="12A51784">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9,780,800.80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11.44</w:t>
      </w:r>
      <w:r>
        <w:rPr>
          <w:rFonts w:hint="eastAsia" w:ascii="Times New Roman" w:hAnsi="Times New Roman" w:eastAsia="宋体" w:cs="Times New Roman"/>
          <w:sz w:val="30"/>
          <w:szCs w:val="30"/>
        </w:rPr>
        <w:t>%；</w:t>
      </w:r>
    </w:p>
    <w:p w14:paraId="4353277C">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928567F">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9CA2D3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5A6C48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75,696,886.07元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88.5%；</w:t>
      </w:r>
    </w:p>
    <w:p w14:paraId="4E128FC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B006B6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731618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60BAEF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53,525.50元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0.06%。</w:t>
      </w:r>
    </w:p>
    <w:p w14:paraId="2BD03D7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5A61A26B">
      <w:pPr>
        <w:autoSpaceDE w:val="0"/>
        <w:autoSpaceDN w:val="0"/>
        <w:adjustRightInd w:val="0"/>
        <w:spacing w:line="58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天津市滨海新区大港中医医院</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年度本年支出合计83,991,086.62元，与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年度相比减少200,932.47元，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人员费用减少，主要是奖励性绩效减少。</w:t>
      </w:r>
    </w:p>
    <w:p w14:paraId="76E141F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83,871,456.62元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占99.86%；</w:t>
      </w:r>
    </w:p>
    <w:p w14:paraId="2136F5C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119,630.00元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占0.14%；</w:t>
      </w:r>
    </w:p>
    <w:p w14:paraId="6A5F09A0">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419B9E8A">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777821F8">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688F83C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6DE13F1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9,780,800.80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年度相比，财政拨款收、支总计各减少1,927,991.60元，下降16.47</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本年财政项目基本公共卫生服务补助经费比上年减少。</w:t>
      </w:r>
    </w:p>
    <w:p w14:paraId="07ACEB3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6EC9CE5F">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6ABE231C">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计9,780,800.80元，占本年支出合计的11.65%，与2022年度相比，一般公共预算财政拨款支出减少1,927,991.60元，下降16.47%，</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：本年财政项目基本公共卫生服务补助经费比上年减少。</w:t>
      </w:r>
    </w:p>
    <w:p w14:paraId="336384B4">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60F7F3F0">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9,780,800.80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卫生健康支出（类）9780800.8元，占100%。</w:t>
      </w:r>
    </w:p>
    <w:p w14:paraId="465781B2">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7CBA243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9,824,400.00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9,780,800.80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99.56%</w:t>
      </w:r>
      <w:r>
        <w:rPr>
          <w:rFonts w:hint="eastAsia" w:ascii="Times New Roman" w:hAnsi="Times New Roman" w:eastAsia="仿宋_GB2312" w:cs="仿宋_GB2312"/>
          <w:kern w:val="0"/>
          <w:sz w:val="30"/>
          <w:szCs w:val="30"/>
        </w:rPr>
        <w:t>。其中：</w:t>
      </w:r>
    </w:p>
    <w:p w14:paraId="4B565784">
      <w:pPr>
        <w:autoSpaceDE w:val="0"/>
        <w:autoSpaceDN w:val="0"/>
        <w:adjustRightInd w:val="0"/>
        <w:spacing w:line="600" w:lineRule="exact"/>
        <w:ind w:firstLine="600" w:firstLineChars="20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1.卫生健康支出（类）公立医院（款）中医（民族）医院（项）年初预算为9824400元，支出决算为9661170.8元，完成年初预算的98.34%，决算数小于年初预算数的主要原因是：按实际人员和公用支出需求列支。</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卫生健康支出（类）公立医院（款）综合医院（项）年初预算为0元，追加预算为20000元，支出决算为20000元，完成追加预算的100%，决算数等于追加预算数的主要原因是：年度预算执行中追加经费用于公立医院改革办公设备购置。</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卫生健康支出（类）公共卫生（款）基本公共卫生服务（项）年初预算为0元，追加预算为10元，支出决算为10元，完成追加预算的100%，决算数等于追加预算数的主要原因是：年度预算执行中追加经费用于基本公共卫生服务。</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公共卫生（款）重大公共卫生服务（项）年初预算为0元，追加预算为8620元，支出决算为8620元，完成追加预算的100%，决算数等于追加预算数的主要原因是：年度预算执行中追加经费用于艾滋病防治和慢性病防治。</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卫生健康支出（类）公共卫生（款）突发公共卫生事件应急处理（项）年初预算为0元，追加预算为91000元，支出决算为91000元，完成追加预算的100%，决算数等于追加预算数的主要原因是：年度预算执行中追加经费用于过渡期一线人员临时补助。</w:t>
      </w:r>
    </w:p>
    <w:p w14:paraId="2B54F0B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47006BF1">
      <w:pPr>
        <w:autoSpaceDE w:val="0"/>
        <w:autoSpaceDN w:val="0"/>
        <w:adjustRightInd w:val="0"/>
        <w:spacing w:line="600" w:lineRule="exact"/>
        <w:ind w:firstLine="600" w:firstLineChars="2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天津市滨海新区大港中医医院</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9,661,170.80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年度相比增加76,635.23元，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按实际人员和公用费用需求列支。</w:t>
      </w:r>
      <w:r>
        <w:rPr>
          <w:rFonts w:hint="eastAsia" w:ascii="Times New Roman" w:hAnsi="Times New Roman" w:eastAsia="仿宋_GB2312" w:cs="仿宋_GB2312"/>
          <w:kern w:val="0"/>
          <w:sz w:val="30"/>
          <w:szCs w:val="30"/>
        </w:rPr>
        <w:t>其中：</w:t>
      </w:r>
    </w:p>
    <w:p w14:paraId="228994B6">
      <w:pPr>
        <w:autoSpaceDE w:val="0"/>
        <w:autoSpaceDN w:val="0"/>
        <w:adjustRightInd w:val="0"/>
        <w:spacing w:line="600" w:lineRule="exact"/>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 xml:space="preserve">    人员经费</w:t>
      </w:r>
      <w:r>
        <w:rPr>
          <w:rFonts w:hint="eastAsia" w:ascii="Times New Roman" w:hAnsi="Times New Roman" w:eastAsia="仿宋_GB2312" w:cs="Times New Roman"/>
          <w:sz w:val="30"/>
          <w:szCs w:val="30"/>
        </w:rPr>
        <w:t>9,155,870.80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基本工资、津贴补贴、绩效工资、机关事业单位基本养老保险缴费、职业年金缴费、职工基本医疗保险缴费、其他社会保障缴费、住房公积金、其他工资福利支出、退休费。</w:t>
      </w:r>
    </w:p>
    <w:p w14:paraId="56545942">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505,300.00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取暖费。</w:t>
      </w:r>
    </w:p>
    <w:p w14:paraId="7A27C18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42F80723">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天津市滨海新区大港中医医院2023年度无政府性基金预算财政拨款收入、支出和结转结余。</w:t>
      </w:r>
      <w:r>
        <w:rPr>
          <w:rFonts w:hint="eastAsia" w:ascii="Times New Roman" w:hAnsi="Times New Roman" w:eastAsia="仿宋_GB2312" w:cs="仿宋_GB2312"/>
          <w:sz w:val="30"/>
          <w:szCs w:val="30"/>
        </w:rPr>
        <w:tab/>
      </w:r>
    </w:p>
    <w:p w14:paraId="5603173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2A834B6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天津市滨海新区大港中医医院2023年度无国有资本经营预算财政拨款收入、支出和结转结余。</w:t>
      </w:r>
    </w:p>
    <w:p w14:paraId="3D70A9E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3E7AE478">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4CC007AC">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bookmarkStart w:id="0" w:name="_GoBack"/>
      <w:bookmarkEnd w:id="0"/>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p>
    <w:p w14:paraId="2EE11E93">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4109098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2F5FD3FE">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F3487F4">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38D9C7E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753886F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3D6194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1ECF06A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7199EAF3">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551103C7">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56F613E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04082A6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天津市滨海新区大港中医医院2023年度无机关运行经费。</w:t>
      </w:r>
    </w:p>
    <w:p w14:paraId="5365ADF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288E693B">
      <w:pPr>
        <w:autoSpaceDE w:val="0"/>
        <w:autoSpaceDN w:val="0"/>
        <w:adjustRightInd w:val="0"/>
        <w:spacing w:line="600" w:lineRule="exact"/>
        <w:ind w:firstLine="600"/>
        <w:rPr>
          <w:rFonts w:ascii="Times New Roman" w:hAnsi="Times New Roman" w:eastAsia="楷体" w:cs="Times New Roman"/>
          <w:kern w:val="0"/>
          <w:sz w:val="30"/>
          <w:szCs w:val="30"/>
        </w:rPr>
      </w:pPr>
      <w:r>
        <w:rPr>
          <w:rFonts w:hint="eastAsia" w:ascii="Times New Roman" w:hAnsi="Times New Roman" w:eastAsia="仿宋_GB2312" w:cs="仿宋_GB2312"/>
          <w:color w:val="000000"/>
          <w:kern w:val="0"/>
          <w:sz w:val="30"/>
          <w:szCs w:val="30"/>
        </w:rPr>
        <w:t>天津市滨海新区大港中医医院</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3,699,197.00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3,699,197.00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109,197.00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2.95%</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109,197.00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2.95%</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2.95</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463CBD1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004D3B4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天津市滨海新区大港中医医院2023年度无国有资产占有使用情况。</w:t>
      </w:r>
    </w:p>
    <w:p w14:paraId="6C6FC5D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4B6BFEE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根据预算绩效管理要求，天津市滨海新区大港中医医院2023年度已对8个项目开展部门评价，涉及金额119630元。自评结果已随部门决算一并公开。</w:t>
      </w:r>
    </w:p>
    <w:p w14:paraId="0627758B">
      <w:pPr>
        <w:keepNext/>
        <w:keepLines/>
        <w:autoSpaceDE w:val="0"/>
        <w:autoSpaceDN w:val="0"/>
        <w:adjustRightInd w:val="0"/>
        <w:spacing w:line="600" w:lineRule="exact"/>
        <w:ind w:firstLine="602"/>
        <w:jc w:val="left"/>
        <w:outlineLvl w:val="1"/>
        <w:rPr>
          <w:rFonts w:ascii="Times New Roman" w:hAnsi="Times New Roman" w:eastAsia="仿宋_GB2312" w:cs="仿宋_GB2312"/>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39BAB63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天津市滨海新区大港中医医院不属于乡、镇、街级单位，不涉及公开2023年度教育、医疗卫生、社会保障和就业、住房保障、涉农补贴等民生支出情况。</w:t>
      </w:r>
    </w:p>
    <w:p w14:paraId="623C5348">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3726C19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44911F02">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4747094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837AF8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A42AF43">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C7A1E"/>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1CDF"/>
    <w:rsid w:val="00885126"/>
    <w:rsid w:val="0089698B"/>
    <w:rsid w:val="008D48A9"/>
    <w:rsid w:val="00903C59"/>
    <w:rsid w:val="00941A30"/>
    <w:rsid w:val="00977DCC"/>
    <w:rsid w:val="009820CF"/>
    <w:rsid w:val="00982A8B"/>
    <w:rsid w:val="009A7ED3"/>
    <w:rsid w:val="009D74D7"/>
    <w:rsid w:val="00A17648"/>
    <w:rsid w:val="00A57AE7"/>
    <w:rsid w:val="00AF71AE"/>
    <w:rsid w:val="00B33C70"/>
    <w:rsid w:val="00B75228"/>
    <w:rsid w:val="00B811F1"/>
    <w:rsid w:val="00B81B9F"/>
    <w:rsid w:val="00BC763A"/>
    <w:rsid w:val="00BC7D6F"/>
    <w:rsid w:val="00BD3CAC"/>
    <w:rsid w:val="00BF697A"/>
    <w:rsid w:val="00C52E77"/>
    <w:rsid w:val="00C65A44"/>
    <w:rsid w:val="00C76AC3"/>
    <w:rsid w:val="00C83EB4"/>
    <w:rsid w:val="00CD0A51"/>
    <w:rsid w:val="00D4505A"/>
    <w:rsid w:val="00D65B41"/>
    <w:rsid w:val="00DA00F6"/>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26931F9"/>
    <w:rsid w:val="33032C66"/>
    <w:rsid w:val="332D3FC0"/>
    <w:rsid w:val="34531633"/>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3A424B"/>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8953-8770-41E6-B9CD-D2978BD700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4294</Words>
  <Characters>4934</Characters>
  <Lines>36</Lines>
  <Paragraphs>10</Paragraphs>
  <TotalTime>0</TotalTime>
  <ScaleCrop>false</ScaleCrop>
  <LinksUpToDate>false</LinksUpToDate>
  <CharactersWithSpaces>4967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2024-09-19T02:14:00Z</dcterms:created>
  <dc:creator>office</dc:creator>
  <cp:lastModifiedBy>S.mile</cp:lastModifiedBy>
  <dcterms:modified xsi:type="dcterms:W3CDTF">2025-11-03T09:20:32Z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A3154390E38B4E0E9F3090F7F6F60529</vt:lpwstr>
  </property>
  <property fmtid="{D5CDD505-2E9C-101B-9397-08002B2CF9AE}" pid="4" name="KSOTemplateDocerSaveRecord">
    <vt:lpwstr>eyJoZGlkIjoiMzEwNTM5NzYwMDRjMzkwZTVkZjY2ODkwMGIxNGU0OTUiLCJ1c2VySWQiOiIyNDA2NzM0NzUifQ==</vt:lpwstr>
  </property>
</Properties>
</file>