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3095">
      <w:pPr>
        <w:autoSpaceDE w:val="0"/>
        <w:autoSpaceDN w:val="0"/>
        <w:adjustRightInd w:val="0"/>
        <w:jc w:val="center"/>
        <w:rPr>
          <w:rFonts w:ascii="Times New Roman" w:hAnsi="Times New Roman" w:eastAsia="方正小标宋简体" w:cs="Times New Roman"/>
          <w:kern w:val="0"/>
          <w:sz w:val="48"/>
          <w:szCs w:val="48"/>
          <w:lang w:val="zh-CN"/>
        </w:rPr>
      </w:pPr>
    </w:p>
    <w:p w14:paraId="20ED2F01">
      <w:pPr>
        <w:autoSpaceDE w:val="0"/>
        <w:autoSpaceDN w:val="0"/>
        <w:adjustRightInd w:val="0"/>
        <w:jc w:val="center"/>
        <w:rPr>
          <w:rFonts w:ascii="Times New Roman" w:hAnsi="Times New Roman" w:eastAsia="方正小标宋简体" w:cs="Times New Roman"/>
          <w:kern w:val="0"/>
          <w:sz w:val="48"/>
          <w:szCs w:val="48"/>
          <w:lang w:val="zh-CN"/>
        </w:rPr>
      </w:pPr>
    </w:p>
    <w:p w14:paraId="48116CB8">
      <w:pPr>
        <w:autoSpaceDE w:val="0"/>
        <w:autoSpaceDN w:val="0"/>
        <w:adjustRightInd w:val="0"/>
        <w:jc w:val="center"/>
        <w:rPr>
          <w:rFonts w:ascii="Times New Roman" w:hAnsi="Times New Roman" w:eastAsia="方正小标宋简体" w:cs="Times New Roman"/>
          <w:kern w:val="0"/>
          <w:sz w:val="48"/>
          <w:szCs w:val="48"/>
          <w:lang w:val="zh-CN"/>
        </w:rPr>
      </w:pPr>
    </w:p>
    <w:p w14:paraId="4DA09E3F">
      <w:pPr>
        <w:autoSpaceDE w:val="0"/>
        <w:autoSpaceDN w:val="0"/>
        <w:adjustRightInd w:val="0"/>
        <w:jc w:val="center"/>
        <w:rPr>
          <w:rFonts w:ascii="Times New Roman" w:hAnsi="Times New Roman" w:eastAsia="方正小标宋简体" w:cs="Times New Roman"/>
          <w:kern w:val="0"/>
          <w:sz w:val="48"/>
          <w:szCs w:val="48"/>
          <w:lang w:val="zh-CN"/>
        </w:rPr>
      </w:pPr>
    </w:p>
    <w:p w14:paraId="2A0A21CD">
      <w:pPr>
        <w:autoSpaceDE w:val="0"/>
        <w:autoSpaceDN w:val="0"/>
        <w:adjustRightInd w:val="0"/>
        <w:jc w:val="center"/>
        <w:rPr>
          <w:rFonts w:ascii="Times New Roman" w:hAnsi="Times New Roman" w:eastAsia="方正小标宋简体" w:cs="Times New Roman"/>
          <w:kern w:val="0"/>
          <w:sz w:val="48"/>
          <w:szCs w:val="48"/>
          <w:lang w:val="zh-CN"/>
        </w:rPr>
      </w:pPr>
    </w:p>
    <w:p w14:paraId="49EE5B7D">
      <w:pPr>
        <w:autoSpaceDE w:val="0"/>
        <w:autoSpaceDN w:val="0"/>
        <w:adjustRightInd w:val="0"/>
        <w:jc w:val="center"/>
        <w:rPr>
          <w:rFonts w:ascii="Times New Roman" w:hAnsi="Times New Roman" w:eastAsia="方正小标宋简体" w:cs="Times New Roman"/>
          <w:kern w:val="0"/>
          <w:sz w:val="48"/>
          <w:szCs w:val="48"/>
          <w:lang w:val="zh-CN"/>
        </w:rPr>
      </w:pPr>
    </w:p>
    <w:p w14:paraId="281D0172">
      <w:pPr>
        <w:autoSpaceDE w:val="0"/>
        <w:autoSpaceDN w:val="0"/>
        <w:adjustRightInd w:val="0"/>
        <w:jc w:val="center"/>
        <w:rPr>
          <w:rFonts w:ascii="Times New Roman" w:hAnsi="Times New Roman" w:eastAsia="方正小标宋简体" w:cs="Times New Roman"/>
          <w:kern w:val="0"/>
          <w:sz w:val="48"/>
          <w:szCs w:val="48"/>
          <w:lang w:val="zh-CN"/>
        </w:rPr>
      </w:pPr>
    </w:p>
    <w:p w14:paraId="60C796C9">
      <w:pPr>
        <w:autoSpaceDE w:val="0"/>
        <w:autoSpaceDN w:val="0"/>
        <w:adjustRightInd w:val="0"/>
        <w:jc w:val="center"/>
        <w:rPr>
          <w:rFonts w:ascii="Times New Roman" w:hAnsi="Times New Roman" w:eastAsia="方正小标宋简体" w:cs="Times New Roman"/>
          <w:kern w:val="0"/>
          <w:sz w:val="48"/>
          <w:szCs w:val="48"/>
          <w:lang w:val="zh-CN"/>
        </w:rPr>
      </w:pPr>
    </w:p>
    <w:p w14:paraId="238D29D0">
      <w:pPr>
        <w:autoSpaceDE w:val="0"/>
        <w:autoSpaceDN w:val="0"/>
        <w:adjustRightInd w:val="0"/>
        <w:jc w:val="center"/>
        <w:rPr>
          <w:rFonts w:ascii="Times New Roman" w:hAnsi="Times New Roman" w:eastAsia="方正小标宋简体" w:cs="Times New Roman"/>
          <w:kern w:val="0"/>
          <w:sz w:val="48"/>
          <w:szCs w:val="48"/>
          <w:lang w:val="zh-CN"/>
        </w:rPr>
      </w:pPr>
      <w:r>
        <w:rPr>
          <w:rFonts w:ascii="Times New Roman" w:hAnsi="Times New Roman" w:eastAsia="方正小标宋简体" w:cs="Times New Roman"/>
          <w:kern w:val="0"/>
          <w:sz w:val="48"/>
          <w:szCs w:val="48"/>
          <w:lang w:val="zh-CN"/>
        </w:rPr>
        <w:t>天津市滨海新区卫生健康促进中心</w:t>
      </w:r>
    </w:p>
    <w:p w14:paraId="4BA631C9">
      <w:pPr>
        <w:autoSpaceDE w:val="0"/>
        <w:autoSpaceDN w:val="0"/>
        <w:adjustRightInd w:val="0"/>
        <w:jc w:val="center"/>
        <w:rPr>
          <w:rFonts w:ascii="Times New Roman" w:hAnsi="Times New Roman" w:eastAsia="方正小标宋简体" w:cs="Times New Roman"/>
          <w:kern w:val="0"/>
          <w:sz w:val="48"/>
          <w:szCs w:val="48"/>
          <w:lang w:val="zh-CN"/>
        </w:rPr>
      </w:pPr>
      <w:r>
        <w:rPr>
          <w:rFonts w:ascii="Times New Roman" w:hAnsi="Times New Roman" w:eastAsia="方正小标宋简体" w:cs="Times New Roman"/>
          <w:kern w:val="0"/>
          <w:sz w:val="48"/>
          <w:szCs w:val="48"/>
          <w:lang w:val="zh-CN"/>
        </w:rPr>
        <w:t>2023年度部门决算</w:t>
      </w:r>
    </w:p>
    <w:p w14:paraId="1EC3380E">
      <w:pPr>
        <w:autoSpaceDE w:val="0"/>
        <w:autoSpaceDN w:val="0"/>
        <w:adjustRightInd w:val="0"/>
        <w:spacing w:line="580" w:lineRule="exact"/>
        <w:jc w:val="center"/>
        <w:rPr>
          <w:rFonts w:ascii="Times New Roman" w:hAnsi="Times New Roman" w:eastAsia="黑体" w:cs="Times New Roman"/>
          <w:sz w:val="30"/>
          <w:szCs w:val="30"/>
        </w:rPr>
      </w:pPr>
    </w:p>
    <w:p w14:paraId="311C1DA8">
      <w:pPr>
        <w:autoSpaceDE w:val="0"/>
        <w:autoSpaceDN w:val="0"/>
        <w:adjustRightInd w:val="0"/>
        <w:spacing w:line="580" w:lineRule="exact"/>
        <w:jc w:val="center"/>
        <w:rPr>
          <w:rFonts w:ascii="Times New Roman" w:hAnsi="Times New Roman" w:eastAsia="黑体" w:cs="Times New Roman"/>
          <w:sz w:val="30"/>
          <w:szCs w:val="30"/>
        </w:rPr>
      </w:pPr>
    </w:p>
    <w:p w14:paraId="10E613BD">
      <w:pPr>
        <w:autoSpaceDE w:val="0"/>
        <w:autoSpaceDN w:val="0"/>
        <w:adjustRightInd w:val="0"/>
        <w:spacing w:line="580" w:lineRule="exact"/>
        <w:jc w:val="center"/>
        <w:rPr>
          <w:rFonts w:ascii="Times New Roman" w:hAnsi="Times New Roman" w:eastAsia="黑体" w:cs="Times New Roman"/>
          <w:sz w:val="30"/>
          <w:szCs w:val="30"/>
        </w:rPr>
      </w:pPr>
    </w:p>
    <w:p w14:paraId="0F23AB2B">
      <w:pPr>
        <w:autoSpaceDE w:val="0"/>
        <w:autoSpaceDN w:val="0"/>
        <w:adjustRightInd w:val="0"/>
        <w:spacing w:line="580" w:lineRule="exact"/>
        <w:jc w:val="center"/>
        <w:rPr>
          <w:rFonts w:ascii="Times New Roman" w:hAnsi="Times New Roman" w:eastAsia="黑体" w:cs="Times New Roman"/>
          <w:sz w:val="30"/>
          <w:szCs w:val="30"/>
        </w:rPr>
      </w:pPr>
    </w:p>
    <w:p w14:paraId="506E6E0C">
      <w:pPr>
        <w:autoSpaceDE w:val="0"/>
        <w:autoSpaceDN w:val="0"/>
        <w:adjustRightInd w:val="0"/>
        <w:spacing w:line="580" w:lineRule="exact"/>
        <w:jc w:val="center"/>
        <w:rPr>
          <w:rFonts w:ascii="Times New Roman" w:hAnsi="Times New Roman" w:eastAsia="黑体" w:cs="Times New Roman"/>
          <w:sz w:val="30"/>
          <w:szCs w:val="30"/>
        </w:rPr>
      </w:pPr>
    </w:p>
    <w:p w14:paraId="7734DC92">
      <w:pPr>
        <w:autoSpaceDE w:val="0"/>
        <w:autoSpaceDN w:val="0"/>
        <w:adjustRightInd w:val="0"/>
        <w:spacing w:line="600" w:lineRule="exact"/>
        <w:jc w:val="center"/>
        <w:rPr>
          <w:rFonts w:ascii="Times New Roman" w:hAnsi="Times New Roman" w:eastAsia="黑体" w:cs="Times New Roman"/>
          <w:kern w:val="0"/>
          <w:sz w:val="44"/>
          <w:szCs w:val="44"/>
        </w:rPr>
      </w:pPr>
      <w:r>
        <w:rPr>
          <w:rFonts w:ascii="Times New Roman" w:hAnsi="Times New Roman" w:eastAsia="黑体" w:cs="Times New Roman"/>
          <w:sz w:val="30"/>
          <w:szCs w:val="30"/>
        </w:rPr>
        <w:br w:type="page"/>
      </w:r>
    </w:p>
    <w:p w14:paraId="43F2989B">
      <w:pPr>
        <w:autoSpaceDE w:val="0"/>
        <w:autoSpaceDN w:val="0"/>
        <w:adjustRightInd w:val="0"/>
        <w:spacing w:line="600" w:lineRule="exact"/>
        <w:jc w:val="center"/>
        <w:rPr>
          <w:rFonts w:ascii="Times New Roman" w:hAnsi="Times New Roman" w:eastAsia="黑体" w:cs="Times New Roman"/>
          <w:kern w:val="0"/>
          <w:sz w:val="44"/>
          <w:szCs w:val="44"/>
        </w:rPr>
      </w:pPr>
      <w:r>
        <w:rPr>
          <w:rFonts w:ascii="Times New Roman" w:hAnsi="Times New Roman" w:eastAsia="黑体" w:cs="Times New Roman"/>
          <w:kern w:val="0"/>
          <w:sz w:val="44"/>
          <w:szCs w:val="44"/>
        </w:rPr>
        <w:t>目录</w:t>
      </w:r>
    </w:p>
    <w:p w14:paraId="528246F1">
      <w:pPr>
        <w:autoSpaceDE w:val="0"/>
        <w:autoSpaceDN w:val="0"/>
        <w:adjustRightInd w:val="0"/>
        <w:spacing w:line="600" w:lineRule="exact"/>
        <w:jc w:val="left"/>
        <w:rPr>
          <w:rFonts w:ascii="Times New Roman" w:hAnsi="Times New Roman" w:eastAsia="黑体" w:cs="Times New Roman"/>
          <w:kern w:val="0"/>
          <w:sz w:val="30"/>
          <w:szCs w:val="30"/>
        </w:rPr>
      </w:pPr>
    </w:p>
    <w:p w14:paraId="508F46B8">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第一部分概况</w:t>
      </w:r>
    </w:p>
    <w:p w14:paraId="1DEB5A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一、主要职责</w:t>
      </w:r>
    </w:p>
    <w:p w14:paraId="73C9BE9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二、机构设置</w:t>
      </w:r>
    </w:p>
    <w:p w14:paraId="4732167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第二部分2023年度部门决算表</w:t>
      </w:r>
    </w:p>
    <w:p w14:paraId="68254B5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一、收入支出决算总表</w:t>
      </w:r>
    </w:p>
    <w:p w14:paraId="5F523EF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二、收入决算表（按功能分类列示）</w:t>
      </w:r>
    </w:p>
    <w:p w14:paraId="03AC375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三、收入决算表（按单位列示）</w:t>
      </w:r>
    </w:p>
    <w:p w14:paraId="20377E6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四、支出决算表</w:t>
      </w:r>
    </w:p>
    <w:p w14:paraId="0128A07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五、财政拨款收入支出决算总表</w:t>
      </w:r>
    </w:p>
    <w:p w14:paraId="3E76EB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六、一般公共预算财政拨款支出决算表</w:t>
      </w:r>
    </w:p>
    <w:p w14:paraId="07D9463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七、一般公共预算财政拨款基本支出决算表</w:t>
      </w:r>
    </w:p>
    <w:p w14:paraId="1169BA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八、政府性基金预算财政拨款收入支出决算表</w:t>
      </w:r>
    </w:p>
    <w:p w14:paraId="7DC435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九、国有资本经营预算财政拨款收入支出决算表</w:t>
      </w:r>
    </w:p>
    <w:p w14:paraId="06D893E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十、财政拨款“三公”经费支出决算表</w:t>
      </w:r>
    </w:p>
    <w:p w14:paraId="5CA38E5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十一、项目支出决算表</w:t>
      </w:r>
    </w:p>
    <w:p w14:paraId="0BCCBCA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十二、关于空表的说明</w:t>
      </w:r>
    </w:p>
    <w:p w14:paraId="6052D10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第三部分2023年度部门决算情况说明</w:t>
      </w:r>
    </w:p>
    <w:p w14:paraId="521D6DB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一、收支决算总体情况说明</w:t>
      </w:r>
    </w:p>
    <w:p w14:paraId="1683333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二、收入决算情况说明</w:t>
      </w:r>
    </w:p>
    <w:p w14:paraId="553B6C7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三、支出决算情况说明</w:t>
      </w:r>
    </w:p>
    <w:p w14:paraId="0EB9373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四、财政拨款收支决算总体情况说明</w:t>
      </w:r>
    </w:p>
    <w:p w14:paraId="359BC6F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五、一般公共预算财政拨款支出决算情况说明</w:t>
      </w:r>
    </w:p>
    <w:p w14:paraId="41020F5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六、一般公共预算财政拨款基本支出决算情况说明</w:t>
      </w:r>
    </w:p>
    <w:p w14:paraId="5E90C9F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七、政府性基金预算财政拨款收支决算情况说明</w:t>
      </w:r>
    </w:p>
    <w:p w14:paraId="566D2B6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八、国有资本经营预算财政拨款收支决算情况说明</w:t>
      </w:r>
    </w:p>
    <w:p w14:paraId="05503A8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九、财政拨款“三公”经费支出决算情况说明</w:t>
      </w:r>
    </w:p>
    <w:p w14:paraId="2F27084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十、机关运行经费支出情况说明</w:t>
      </w:r>
    </w:p>
    <w:p w14:paraId="0CC5EB5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十一、政府采购支出情况说明</w:t>
      </w:r>
    </w:p>
    <w:p w14:paraId="28B3061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十二、国有资产占有使用情况说明</w:t>
      </w:r>
    </w:p>
    <w:p w14:paraId="2980F85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十三、预算绩效情况说明</w:t>
      </w:r>
    </w:p>
    <w:p w14:paraId="605CD53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十四、教育、医疗卫生、社会保障和就业、住房保障、涉农补贴等民生支出情况说明</w:t>
      </w:r>
    </w:p>
    <w:p w14:paraId="18E02E9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第四部分名词解释</w:t>
      </w:r>
    </w:p>
    <w:p w14:paraId="5243DA22">
      <w:pPr>
        <w:autoSpaceDE w:val="0"/>
        <w:autoSpaceDN w:val="0"/>
        <w:adjustRightInd w:val="0"/>
        <w:spacing w:line="700" w:lineRule="exact"/>
        <w:jc w:val="left"/>
        <w:rPr>
          <w:rFonts w:ascii="Times New Roman" w:hAnsi="Times New Roman" w:eastAsia="黑体" w:cs="Times New Roman"/>
          <w:sz w:val="30"/>
          <w:szCs w:val="30"/>
          <w:lang w:val="zh-CN"/>
        </w:rPr>
      </w:pPr>
      <w:r>
        <w:rPr>
          <w:rFonts w:ascii="Times New Roman" w:hAnsi="Times New Roman" w:eastAsia="黑体" w:cs="Times New Roman"/>
          <w:sz w:val="30"/>
          <w:szCs w:val="30"/>
          <w:lang w:val="zh-CN"/>
        </w:rPr>
        <w:br w:type="page"/>
      </w:r>
    </w:p>
    <w:p w14:paraId="5E905E95">
      <w:pPr>
        <w:keepNext/>
        <w:keepLines/>
        <w:autoSpaceDE w:val="0"/>
        <w:autoSpaceDN w:val="0"/>
        <w:adjustRightInd w:val="0"/>
        <w:spacing w:line="600" w:lineRule="exact"/>
        <w:jc w:val="center"/>
        <w:outlineLvl w:val="0"/>
        <w:rPr>
          <w:rFonts w:ascii="Times New Roman" w:hAnsi="Times New Roman" w:eastAsia="方正小标宋简体" w:cs="Times New Roman"/>
          <w:kern w:val="44"/>
          <w:sz w:val="44"/>
          <w:szCs w:val="44"/>
        </w:rPr>
      </w:pPr>
      <w:r>
        <w:rPr>
          <w:rFonts w:ascii="Times New Roman" w:hAnsi="Times New Roman" w:eastAsia="方正小标宋简体" w:cs="Times New Roman"/>
          <w:kern w:val="44"/>
          <w:sz w:val="44"/>
          <w:szCs w:val="44"/>
        </w:rPr>
        <w:t>第一部分概况</w:t>
      </w:r>
    </w:p>
    <w:p w14:paraId="294BBBF5">
      <w:pPr>
        <w:keepNext/>
        <w:keepLines/>
        <w:autoSpaceDE w:val="0"/>
        <w:autoSpaceDN w:val="0"/>
        <w:adjustRightInd w:val="0"/>
        <w:spacing w:line="6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一、主要职责</w:t>
      </w:r>
    </w:p>
    <w:p w14:paraId="7F834211">
      <w:pPr>
        <w:autoSpaceDE w:val="0"/>
        <w:autoSpaceDN w:val="0"/>
        <w:adjustRightInd w:val="0"/>
        <w:spacing w:line="600" w:lineRule="exact"/>
        <w:ind w:firstLine="600"/>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我中心根据《关于改革调整区卫生健康委所属公益类事业单位有关问题的通知》（津党编发〔2020〕13号）文件要求整合而成，主要承担全区健康教育与促进工作，向公众传播健康理念、知识和技能；承担健康天津行动相关技术支持工作；承担全区卫生健康行业相关社会宣传活动；承担卫生健康委管理的干部人事档案的建立、接</w:t>
      </w:r>
      <w:r>
        <w:rPr>
          <w:rFonts w:hint="eastAsia" w:ascii="Times New Roman" w:hAnsi="Times New Roman" w:eastAsia="仿宋_GB2312" w:cs="Times New Roman"/>
          <w:sz w:val="30"/>
          <w:szCs w:val="30"/>
          <w:lang w:val="en-US" w:eastAsia="zh-CN"/>
        </w:rPr>
        <w:t>收</w:t>
      </w:r>
      <w:r>
        <w:rPr>
          <w:rFonts w:ascii="Times New Roman" w:hAnsi="Times New Roman" w:eastAsia="仿宋_GB2312" w:cs="Times New Roman"/>
          <w:sz w:val="30"/>
          <w:szCs w:val="30"/>
        </w:rPr>
        <w:t>、保管、转递，档案材料的收集、鉴别、整理、归档，档案信息化等工作；负责干部人事档案的查（借）阅、档案信息研究利用工作；承担干部人事档案的安全、保密和保护等工作。</w:t>
      </w:r>
    </w:p>
    <w:p w14:paraId="5A84105B">
      <w:pPr>
        <w:keepNext/>
        <w:keepLines/>
        <w:autoSpaceDE w:val="0"/>
        <w:autoSpaceDN w:val="0"/>
        <w:adjustRightInd w:val="0"/>
        <w:spacing w:line="6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二、机构设置</w:t>
      </w:r>
    </w:p>
    <w:p w14:paraId="4A85C41E">
      <w:pPr>
        <w:autoSpaceDE w:val="0"/>
        <w:autoSpaceDN w:val="0"/>
        <w:adjustRightInd w:val="0"/>
        <w:spacing w:line="60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天津市滨海新区卫生健康促进中心内设5个职能科室；下辖0个预算单位。纳入天津市滨海新区卫生健康促进中心2023年度部门决算编制范围的单位包括：</w:t>
      </w:r>
    </w:p>
    <w:p w14:paraId="366D9022">
      <w:pPr>
        <w:autoSpaceDE w:val="0"/>
        <w:autoSpaceDN w:val="0"/>
        <w:adjustRightInd w:val="0"/>
        <w:spacing w:line="60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w:t>
      </w:r>
    </w:p>
    <w:p w14:paraId="04C7E95D">
      <w:pPr>
        <w:rPr>
          <w:rFonts w:ascii="Times New Roman" w:hAnsi="Times New Roman" w:eastAsia="黑体" w:cs="Times New Roman"/>
          <w:sz w:val="30"/>
          <w:szCs w:val="30"/>
          <w:lang w:val="zh-CN"/>
        </w:rPr>
      </w:pPr>
      <w:r>
        <w:rPr>
          <w:rFonts w:ascii="Times New Roman" w:hAnsi="Times New Roman" w:eastAsia="黑体" w:cs="Times New Roman"/>
          <w:sz w:val="30"/>
          <w:szCs w:val="30"/>
          <w:lang w:val="zh-CN"/>
        </w:rPr>
        <w:br w:type="page"/>
      </w:r>
    </w:p>
    <w:p w14:paraId="3DC98184">
      <w:pPr>
        <w:keepNext/>
        <w:keepLines/>
        <w:autoSpaceDE w:val="0"/>
        <w:autoSpaceDN w:val="0"/>
        <w:adjustRightInd w:val="0"/>
        <w:spacing w:line="600" w:lineRule="exact"/>
        <w:jc w:val="center"/>
        <w:outlineLvl w:val="0"/>
        <w:rPr>
          <w:rFonts w:ascii="Times New Roman" w:hAnsi="Times New Roman" w:eastAsia="方正小标宋简体" w:cs="Times New Roman"/>
          <w:kern w:val="44"/>
          <w:sz w:val="44"/>
          <w:szCs w:val="44"/>
        </w:rPr>
      </w:pPr>
      <w:r>
        <w:rPr>
          <w:rFonts w:ascii="Times New Roman" w:hAnsi="Times New Roman" w:eastAsia="方正小标宋简体" w:cs="Times New Roman"/>
          <w:kern w:val="44"/>
          <w:sz w:val="44"/>
          <w:szCs w:val="44"/>
        </w:rPr>
        <w:t>第二部分2023年度部门决算表</w:t>
      </w:r>
    </w:p>
    <w:p w14:paraId="5C0CE3DD">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3058D70D">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一、《收入支出决算总表》</w:t>
      </w:r>
    </w:p>
    <w:p w14:paraId="4E3888CA">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二、《收入决算表（按功能分类列示）》</w:t>
      </w:r>
    </w:p>
    <w:p w14:paraId="5204DE10">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三、《收入决算表（按单位列示）》</w:t>
      </w:r>
    </w:p>
    <w:p w14:paraId="63A7AE93">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四、《支出决算表》</w:t>
      </w:r>
    </w:p>
    <w:p w14:paraId="549F939C">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五、《财政拨款收入支出决算总表》</w:t>
      </w:r>
    </w:p>
    <w:p w14:paraId="17D5825D">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六、《一般公共预算财政拨款支出决算表》</w:t>
      </w:r>
    </w:p>
    <w:p w14:paraId="2DA6D637">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七、《一般公共预算财政拨款基本支出决算表》</w:t>
      </w:r>
    </w:p>
    <w:p w14:paraId="4FB1CBED">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八、《政府性基金预算财政拨款收入支出决算表》</w:t>
      </w:r>
    </w:p>
    <w:p w14:paraId="4DCDD7B5">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九、《国有资本经营预算财政拨款收入支出决算表》</w:t>
      </w:r>
    </w:p>
    <w:p w14:paraId="05196987">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十、《财政拨款“三公”经费支出决算表》</w:t>
      </w:r>
    </w:p>
    <w:p w14:paraId="702912E5">
      <w:pPr>
        <w:keepNext/>
        <w:keepLines/>
        <w:autoSpaceDE w:val="0"/>
        <w:autoSpaceDN w:val="0"/>
        <w:adjustRightInd w:val="0"/>
        <w:spacing w:line="800" w:lineRule="exact"/>
        <w:ind w:firstLine="600"/>
        <w:jc w:val="left"/>
        <w:outlineLvl w:val="1"/>
        <w:rPr>
          <w:rFonts w:ascii="Times New Roman" w:hAnsi="Times New Roman" w:eastAsia="黑体" w:cs="Times New Roman"/>
          <w:kern w:val="0"/>
          <w:sz w:val="30"/>
          <w:szCs w:val="30"/>
        </w:rPr>
      </w:pPr>
      <w:r>
        <w:rPr>
          <w:rFonts w:ascii="Times New Roman" w:hAnsi="Times New Roman" w:eastAsia="黑体" w:cs="Times New Roman"/>
          <w:kern w:val="0"/>
          <w:sz w:val="30"/>
          <w:szCs w:val="30"/>
        </w:rPr>
        <w:t>十一、《项目支出决算表》</w:t>
      </w:r>
    </w:p>
    <w:p w14:paraId="04996C93">
      <w:pPr>
        <w:autoSpaceDE w:val="0"/>
        <w:autoSpaceDN w:val="0"/>
        <w:adjustRightInd w:val="0"/>
        <w:spacing w:line="800" w:lineRule="exact"/>
        <w:jc w:val="left"/>
        <w:rPr>
          <w:rFonts w:ascii="Times New Roman" w:hAnsi="Times New Roman" w:eastAsia="楷体" w:cs="Times New Roman"/>
          <w:kern w:val="0"/>
          <w:sz w:val="30"/>
          <w:szCs w:val="30"/>
        </w:rPr>
      </w:pPr>
      <w:r>
        <w:rPr>
          <w:rFonts w:ascii="Times New Roman" w:hAnsi="Times New Roman" w:eastAsia="楷体" w:cs="Times New Roman"/>
          <w:kern w:val="0"/>
          <w:sz w:val="30"/>
          <w:szCs w:val="30"/>
        </w:rPr>
        <w:t>注：以上决算公开表均作为附表，附于决算公开说明文档后。</w:t>
      </w:r>
    </w:p>
    <w:p w14:paraId="7179037F">
      <w:pPr>
        <w:autoSpaceDE w:val="0"/>
        <w:autoSpaceDN w:val="0"/>
        <w:adjustRightInd w:val="0"/>
        <w:spacing w:line="600" w:lineRule="exact"/>
        <w:jc w:val="left"/>
        <w:rPr>
          <w:rFonts w:ascii="Times New Roman" w:hAnsi="Times New Roman" w:eastAsia="黑体" w:cs="Times New Roman"/>
          <w:b/>
          <w:bCs/>
          <w:kern w:val="0"/>
          <w:sz w:val="30"/>
          <w:szCs w:val="30"/>
        </w:rPr>
      </w:pPr>
      <w:r>
        <w:rPr>
          <w:rFonts w:ascii="Times New Roman" w:hAnsi="Times New Roman" w:eastAsia="楷体" w:cs="Times New Roman"/>
          <w:kern w:val="0"/>
          <w:sz w:val="24"/>
          <w:szCs w:val="24"/>
        </w:rPr>
        <w:br w:type="page"/>
      </w:r>
      <w:r>
        <w:rPr>
          <w:rFonts w:ascii="Times New Roman" w:hAnsi="Times New Roman" w:eastAsia="黑体" w:cs="Times New Roman"/>
          <w:b/>
          <w:bCs/>
          <w:kern w:val="0"/>
          <w:sz w:val="30"/>
          <w:szCs w:val="30"/>
        </w:rPr>
        <w:t>十二、关于空表的说明</w:t>
      </w:r>
    </w:p>
    <w:p w14:paraId="1E648E34">
      <w:pPr>
        <w:autoSpaceDE w:val="0"/>
        <w:autoSpaceDN w:val="0"/>
        <w:adjustRightInd w:val="0"/>
        <w:spacing w:line="600" w:lineRule="exact"/>
        <w:ind w:firstLine="601"/>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1. 天津市滨海新区卫生健康促进中心202</w:t>
      </w: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年度国有资本经营预算财政拨款收入支出决算表为空表。</w:t>
      </w:r>
      <w:r>
        <w:rPr>
          <w:rFonts w:ascii="Times New Roman" w:hAnsi="Times New Roman" w:eastAsia="仿宋_GB2312" w:cs="Times New Roman"/>
          <w:sz w:val="30"/>
          <w:szCs w:val="30"/>
        </w:rPr>
        <w:br w:type="textWrapping"/>
      </w:r>
      <w:r>
        <w:rPr>
          <w:rFonts w:ascii="Times New Roman" w:hAnsi="Times New Roman" w:eastAsia="仿宋_GB2312" w:cs="Times New Roman"/>
          <w:sz w:val="30"/>
          <w:szCs w:val="30"/>
        </w:rPr>
        <w:t xml:space="preserve">    2. 天津市滨海新区卫生健康促进中心202</w:t>
      </w: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年度一般公共预算财政拨款“三公”经费支出决算表为空表。</w:t>
      </w:r>
    </w:p>
    <w:p w14:paraId="34DCC845">
      <w:pPr>
        <w:autoSpaceDE w:val="0"/>
        <w:autoSpaceDN w:val="0"/>
        <w:adjustRightInd w:val="0"/>
        <w:spacing w:line="600" w:lineRule="exact"/>
        <w:ind w:firstLine="601"/>
        <w:jc w:val="left"/>
        <w:rPr>
          <w:rFonts w:ascii="Times New Roman" w:hAnsi="Times New Roman" w:eastAsia="仿宋_GB2312" w:cs="Times New Roman"/>
          <w:sz w:val="30"/>
          <w:szCs w:val="30"/>
        </w:rPr>
      </w:pPr>
    </w:p>
    <w:p w14:paraId="1CED99E9">
      <w:pPr>
        <w:keepNext/>
        <w:keepLines/>
        <w:autoSpaceDE w:val="0"/>
        <w:autoSpaceDN w:val="0"/>
        <w:adjustRightInd w:val="0"/>
        <w:spacing w:line="600" w:lineRule="exact"/>
        <w:ind w:firstLine="600"/>
        <w:jc w:val="left"/>
        <w:outlineLvl w:val="1"/>
        <w:rPr>
          <w:rFonts w:ascii="Times New Roman" w:hAnsi="Times New Roman" w:eastAsia="方正小标宋简体" w:cs="Times New Roman"/>
          <w:kern w:val="44"/>
          <w:sz w:val="44"/>
          <w:szCs w:val="44"/>
        </w:rPr>
      </w:pPr>
      <w:r>
        <w:rPr>
          <w:rFonts w:ascii="Times New Roman" w:hAnsi="Times New Roman" w:eastAsia="方正小标宋简体" w:cs="Times New Roman"/>
          <w:kern w:val="44"/>
          <w:sz w:val="44"/>
          <w:szCs w:val="44"/>
        </w:rPr>
        <w:t>第三部分2023年度部门决算情况说明</w:t>
      </w:r>
    </w:p>
    <w:p w14:paraId="0A58B705">
      <w:pPr>
        <w:autoSpaceDE w:val="0"/>
        <w:autoSpaceDN w:val="0"/>
        <w:adjustRightInd w:val="0"/>
        <w:spacing w:line="580" w:lineRule="exact"/>
        <w:ind w:firstLine="600"/>
        <w:jc w:val="left"/>
        <w:rPr>
          <w:rFonts w:ascii="Times New Roman" w:hAnsi="Times New Roman" w:eastAsia="黑体" w:cs="Times New Roman"/>
          <w:sz w:val="30"/>
          <w:szCs w:val="30"/>
          <w:lang w:val="zh-CN"/>
        </w:rPr>
      </w:pPr>
    </w:p>
    <w:p w14:paraId="4E3F86B1">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lang w:val="zh-CN"/>
        </w:rPr>
      </w:pPr>
      <w:r>
        <w:rPr>
          <w:rFonts w:ascii="Times New Roman" w:hAnsi="Times New Roman" w:eastAsia="黑体" w:cs="Times New Roman"/>
          <w:b/>
          <w:bCs/>
          <w:kern w:val="0"/>
          <w:sz w:val="30"/>
          <w:szCs w:val="30"/>
          <w:lang w:val="zh-CN"/>
        </w:rPr>
        <w:t>一、收入支出决算总体情况说明</w:t>
      </w:r>
    </w:p>
    <w:p w14:paraId="57F8F5D9">
      <w:pPr>
        <w:autoSpaceDE w:val="0"/>
        <w:autoSpaceDN w:val="0"/>
        <w:adjustRightInd w:val="0"/>
        <w:spacing w:line="60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lang w:val="zh-CN"/>
        </w:rPr>
        <w:t>天津市滨海新区卫生健康促进中心2023年度收入、支出决算总计</w:t>
      </w:r>
      <w:r>
        <w:rPr>
          <w:rFonts w:ascii="Times New Roman" w:hAnsi="Times New Roman" w:eastAsia="仿宋_GB2312" w:cs="Times New Roman"/>
          <w:sz w:val="30"/>
          <w:szCs w:val="30"/>
        </w:rPr>
        <w:t>5,328,671.99元，与2022年度相比，收、支总计各增加794,297.26元，增长17.52%，</w:t>
      </w:r>
      <w:r>
        <w:rPr>
          <w:rFonts w:ascii="Times New Roman" w:hAnsi="Times New Roman" w:eastAsia="仿宋_GB2312" w:cs="Times New Roman"/>
          <w:sz w:val="30"/>
          <w:szCs w:val="30"/>
          <w:lang w:val="zh-CN"/>
        </w:rPr>
        <w:t>主要原因是</w:t>
      </w:r>
      <w:r>
        <w:rPr>
          <w:rFonts w:ascii="Times New Roman" w:hAnsi="Times New Roman" w:eastAsia="仿宋_GB2312" w:cs="Times New Roman"/>
          <w:sz w:val="30"/>
          <w:szCs w:val="30"/>
        </w:rPr>
        <w:t>：单位新入职四名职工，导致年度收入支出增加。</w:t>
      </w:r>
    </w:p>
    <w:p w14:paraId="142D1C36">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lang w:val="zh-CN"/>
        </w:rPr>
        <w:t>二、</w:t>
      </w:r>
      <w:r>
        <w:rPr>
          <w:rFonts w:ascii="Times New Roman" w:hAnsi="Times New Roman" w:eastAsia="黑体" w:cs="Times New Roman"/>
          <w:b/>
          <w:bCs/>
          <w:kern w:val="0"/>
          <w:sz w:val="30"/>
          <w:szCs w:val="30"/>
        </w:rPr>
        <w:t>收入决算情况</w:t>
      </w:r>
      <w:r>
        <w:rPr>
          <w:rFonts w:ascii="Times New Roman" w:hAnsi="Times New Roman" w:eastAsia="黑体" w:cs="Times New Roman"/>
          <w:b/>
          <w:bCs/>
          <w:kern w:val="0"/>
          <w:sz w:val="30"/>
          <w:szCs w:val="30"/>
          <w:lang w:val="zh-CN"/>
        </w:rPr>
        <w:t>说明</w:t>
      </w:r>
    </w:p>
    <w:p w14:paraId="063F5D9A">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天津市滨海新区卫生健康促进中心2023</w:t>
      </w:r>
      <w:r>
        <w:rPr>
          <w:rFonts w:ascii="Times New Roman" w:hAnsi="Times New Roman" w:eastAsia="仿宋_GB2312" w:cs="Times New Roman"/>
          <w:sz w:val="30"/>
          <w:szCs w:val="30"/>
          <w:lang w:val="zh-CN"/>
        </w:rPr>
        <w:t>年度本年收入合计</w:t>
      </w:r>
      <w:r>
        <w:rPr>
          <w:rFonts w:ascii="Times New Roman" w:hAnsi="Times New Roman" w:eastAsia="仿宋_GB2312" w:cs="Times New Roman"/>
          <w:sz w:val="30"/>
          <w:szCs w:val="30"/>
        </w:rPr>
        <w:t>5,328,671.99元，与2022年度相比增加796,722.54元，</w:t>
      </w:r>
      <w:r>
        <w:rPr>
          <w:rFonts w:ascii="Times New Roman" w:hAnsi="Times New Roman" w:eastAsia="仿宋_GB2312" w:cs="Times New Roman"/>
          <w:kern w:val="0"/>
          <w:sz w:val="30"/>
          <w:szCs w:val="30"/>
          <w:lang w:val="zh-CN"/>
        </w:rPr>
        <w:t>主要原因是</w:t>
      </w:r>
      <w:r>
        <w:rPr>
          <w:rFonts w:ascii="Times New Roman" w:hAnsi="Times New Roman" w:eastAsia="仿宋_GB2312" w:cs="Times New Roman"/>
          <w:kern w:val="0"/>
          <w:sz w:val="30"/>
          <w:szCs w:val="30"/>
        </w:rPr>
        <w:t>：单位新入职四名职工，财政拨入人员经费增加。</w:t>
      </w:r>
    </w:p>
    <w:p w14:paraId="554C89CA">
      <w:pPr>
        <w:autoSpaceDE w:val="0"/>
        <w:autoSpaceDN w:val="0"/>
        <w:adjustRightInd w:val="0"/>
        <w:spacing w:line="600" w:lineRule="exact"/>
        <w:ind w:firstLine="600"/>
        <w:jc w:val="left"/>
        <w:rPr>
          <w:rFonts w:ascii="Times New Roman" w:hAnsi="Times New Roman" w:eastAsia="宋体" w:cs="Times New Roman"/>
          <w:sz w:val="30"/>
          <w:szCs w:val="30"/>
        </w:rPr>
      </w:pPr>
      <w:r>
        <w:rPr>
          <w:rFonts w:ascii="Times New Roman" w:hAnsi="Times New Roman" w:eastAsia="仿宋_GB2312" w:cs="Times New Roman"/>
          <w:sz w:val="30"/>
          <w:szCs w:val="30"/>
        </w:rPr>
        <w:t>其中：</w:t>
      </w:r>
      <w:r>
        <w:rPr>
          <w:rFonts w:ascii="Times New Roman" w:hAnsi="Times New Roman" w:eastAsia="仿宋_GB2312" w:cs="Times New Roman"/>
          <w:sz w:val="30"/>
          <w:szCs w:val="30"/>
          <w:lang w:val="zh-CN"/>
        </w:rPr>
        <w:t>一般公共预算财政拨款收入</w:t>
      </w:r>
      <w:r>
        <w:rPr>
          <w:rFonts w:ascii="Times New Roman" w:hAnsi="Times New Roman" w:eastAsia="仿宋_GB2312" w:cs="Times New Roman"/>
          <w:sz w:val="30"/>
          <w:szCs w:val="30"/>
        </w:rPr>
        <w:t>5,310,671.99</w:t>
      </w:r>
      <w:r>
        <w:rPr>
          <w:rFonts w:ascii="Times New Roman" w:hAnsi="Times New Roman" w:eastAsia="仿宋_GB2312" w:cs="Times New Roman"/>
          <w:sz w:val="30"/>
          <w:szCs w:val="30"/>
          <w:lang w:val="zh-CN"/>
        </w:rPr>
        <w:t>元，占</w:t>
      </w:r>
      <w:r>
        <w:rPr>
          <w:rFonts w:ascii="Times New Roman" w:hAnsi="Times New Roman" w:eastAsia="仿宋_GB2312" w:cs="Times New Roman"/>
          <w:sz w:val="30"/>
          <w:szCs w:val="30"/>
        </w:rPr>
        <w:t>99.66</w:t>
      </w:r>
      <w:r>
        <w:rPr>
          <w:rFonts w:ascii="Times New Roman" w:hAnsi="Times New Roman" w:eastAsia="宋体" w:cs="Times New Roman"/>
          <w:sz w:val="30"/>
          <w:szCs w:val="30"/>
        </w:rPr>
        <w:t>%；</w:t>
      </w:r>
    </w:p>
    <w:p w14:paraId="20F049CF">
      <w:pPr>
        <w:autoSpaceDE w:val="0"/>
        <w:autoSpaceDN w:val="0"/>
        <w:adjustRightInd w:val="0"/>
        <w:spacing w:line="600" w:lineRule="exact"/>
        <w:ind w:firstLine="600" w:firstLineChars="2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政府性基金预算财政拨款收入18,000.00元，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0.34%；</w:t>
      </w:r>
    </w:p>
    <w:p w14:paraId="2FB6D811">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国有资本经营预算财政拨款收入0.00元，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5908567F">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财政专户管理资金收入0.00元，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1F522AFB">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事业收入0.00元，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24D67196">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事业单位经营收入0.00元，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7442B833">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hAnsi="Times New Roman" w:eastAsia="仿宋_GB2312" w:cs="Times New Roman"/>
          <w:sz w:val="30"/>
          <w:szCs w:val="30"/>
          <w:lang w:val="zh-CN"/>
        </w:rPr>
        <w:t>上级补助收入0.00元，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11CABDE9">
      <w:pPr>
        <w:autoSpaceDE w:val="0"/>
        <w:autoSpaceDN w:val="0"/>
        <w:adjustRightInd w:val="0"/>
        <w:spacing w:line="600" w:lineRule="exact"/>
        <w:ind w:firstLine="600"/>
        <w:jc w:val="left"/>
        <w:rPr>
          <w:rFonts w:ascii="Times New Roman" w:hAnsi="Times New Roman" w:eastAsia="仿宋_GB2312" w:cs="Times New Roman"/>
          <w:sz w:val="30"/>
          <w:szCs w:val="30"/>
          <w:lang w:val="zh-CN"/>
        </w:rPr>
      </w:pPr>
      <w:r>
        <w:rPr>
          <w:rFonts w:ascii="Times New Roman" w:eastAsia="仿宋_GB2312" w:cs="Times New Roman"/>
          <w:sz w:val="30"/>
          <w:szCs w:val="30"/>
        </w:rPr>
        <w:t>附属单位上缴收入</w:t>
      </w:r>
      <w:r>
        <w:rPr>
          <w:rFonts w:ascii="Times New Roman" w:hAnsi="Times New Roman" w:eastAsia="仿宋_GB2312" w:cs="Times New Roman"/>
          <w:sz w:val="30"/>
          <w:szCs w:val="30"/>
          <w:lang w:val="zh-CN"/>
        </w:rPr>
        <w:t>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03E63E0B">
      <w:pPr>
        <w:autoSpaceDE w:val="0"/>
        <w:autoSpaceDN w:val="0"/>
        <w:adjustRightInd w:val="0"/>
        <w:spacing w:line="60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lang w:val="zh-CN"/>
        </w:rPr>
        <w:t>其他收入0.00元，</w:t>
      </w:r>
      <w:r>
        <w:rPr>
          <w:rFonts w:ascii="Times New Roman" w:hAnsi="Times New Roman" w:eastAsia="仿宋_GB2312" w:cs="Times New Roman"/>
          <w:kern w:val="0"/>
          <w:sz w:val="30"/>
          <w:szCs w:val="30"/>
        </w:rPr>
        <w:t>占</w:t>
      </w:r>
      <w:r>
        <w:rPr>
          <w:rFonts w:ascii="Times New Roman" w:hAnsi="Times New Roman" w:eastAsia="仿宋_GB2312" w:cs="Times New Roman"/>
          <w:sz w:val="30"/>
          <w:szCs w:val="30"/>
          <w:lang w:val="zh-CN"/>
        </w:rPr>
        <w:t>0.0%。</w:t>
      </w:r>
    </w:p>
    <w:p w14:paraId="01C5791B">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lang w:val="zh-CN"/>
        </w:rPr>
        <w:t>三、支出</w:t>
      </w:r>
      <w:r>
        <w:rPr>
          <w:rFonts w:ascii="Times New Roman" w:hAnsi="Times New Roman" w:eastAsia="黑体" w:cs="Times New Roman"/>
          <w:b/>
          <w:bCs/>
          <w:kern w:val="0"/>
          <w:sz w:val="30"/>
          <w:szCs w:val="30"/>
        </w:rPr>
        <w:t>决算情况说明</w:t>
      </w:r>
    </w:p>
    <w:p w14:paraId="64D82D79">
      <w:pPr>
        <w:autoSpaceDE w:val="0"/>
        <w:autoSpaceDN w:val="0"/>
        <w:adjustRightInd w:val="0"/>
        <w:spacing w:line="58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天津市滨海新区卫生健康促进中心</w:t>
      </w:r>
      <w:r>
        <w:rPr>
          <w:rFonts w:ascii="Times New Roman" w:hAnsi="Times New Roman" w:eastAsia="宋体" w:cs="Times New Roman"/>
          <w:sz w:val="30"/>
          <w:szCs w:val="30"/>
        </w:rPr>
        <w:t>2023</w:t>
      </w:r>
      <w:r>
        <w:rPr>
          <w:rFonts w:ascii="Times New Roman" w:hAnsi="Times New Roman" w:eastAsia="仿宋_GB2312" w:cs="Times New Roman"/>
          <w:sz w:val="30"/>
          <w:szCs w:val="30"/>
        </w:rPr>
        <w:t>年度本年支出合计5,328,671.99元，与2022年度相比增加794,431.89元，</w:t>
      </w:r>
      <w:r>
        <w:rPr>
          <w:rFonts w:ascii="Times New Roman" w:hAnsi="Times New Roman" w:eastAsia="仿宋_GB2312" w:cs="Times New Roman"/>
          <w:sz w:val="30"/>
          <w:szCs w:val="30"/>
          <w:lang w:val="zh-CN"/>
        </w:rPr>
        <w:t>主要原因是</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单位新入职四名职工，人员支出增加。</w:t>
      </w:r>
    </w:p>
    <w:p w14:paraId="109F2F8F">
      <w:pPr>
        <w:autoSpaceDE w:val="0"/>
        <w:autoSpaceDN w:val="0"/>
        <w:adjustRightInd w:val="0"/>
        <w:spacing w:line="58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其中：基本支出4,754,523.93元，占89.23%；</w:t>
      </w:r>
    </w:p>
    <w:p w14:paraId="0B3841E0">
      <w:pPr>
        <w:autoSpaceDE w:val="0"/>
        <w:autoSpaceDN w:val="0"/>
        <w:adjustRightInd w:val="0"/>
        <w:spacing w:line="58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项目支出574,148.06元，占10.77%；</w:t>
      </w:r>
    </w:p>
    <w:p w14:paraId="2153F6FA">
      <w:pPr>
        <w:autoSpaceDE w:val="0"/>
        <w:autoSpaceDN w:val="0"/>
        <w:adjustRightInd w:val="0"/>
        <w:spacing w:line="58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上缴上级支出0.00元，占0.0%；</w:t>
      </w:r>
    </w:p>
    <w:p w14:paraId="790DEA37">
      <w:pPr>
        <w:autoSpaceDE w:val="0"/>
        <w:autoSpaceDN w:val="0"/>
        <w:adjustRightInd w:val="0"/>
        <w:spacing w:line="58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经营支出0.00元，占0.0%；</w:t>
      </w:r>
    </w:p>
    <w:p w14:paraId="5C5F3AC4">
      <w:pPr>
        <w:autoSpaceDE w:val="0"/>
        <w:autoSpaceDN w:val="0"/>
        <w:adjustRightInd w:val="0"/>
        <w:spacing w:line="580" w:lineRule="exact"/>
        <w:ind w:firstLine="600"/>
        <w:jc w:val="left"/>
        <w:rPr>
          <w:rFonts w:ascii="Times New Roman" w:hAnsi="Times New Roman" w:eastAsia="黑体" w:cs="Times New Roman"/>
          <w:sz w:val="30"/>
          <w:szCs w:val="30"/>
          <w:lang w:val="zh-CN"/>
        </w:rPr>
      </w:pPr>
      <w:r>
        <w:rPr>
          <w:rFonts w:ascii="Times New Roman" w:hAnsi="Times New Roman" w:eastAsia="仿宋_GB2312" w:cs="Times New Roman"/>
          <w:sz w:val="30"/>
          <w:szCs w:val="30"/>
        </w:rPr>
        <w:t>对附属单位补助支出0.00元，占0.0%。</w:t>
      </w:r>
    </w:p>
    <w:p w14:paraId="6B7F82AF">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lang w:val="zh-CN"/>
        </w:rPr>
      </w:pPr>
      <w:r>
        <w:rPr>
          <w:rFonts w:ascii="Times New Roman" w:hAnsi="Times New Roman" w:eastAsia="黑体" w:cs="Times New Roman"/>
          <w:b/>
          <w:bCs/>
          <w:kern w:val="0"/>
          <w:sz w:val="30"/>
          <w:szCs w:val="30"/>
          <w:lang w:val="zh-CN"/>
        </w:rPr>
        <w:t>四、财政拨款收支决算总体情况说明</w:t>
      </w:r>
    </w:p>
    <w:p w14:paraId="4878BB76">
      <w:pPr>
        <w:autoSpaceDE w:val="0"/>
        <w:autoSpaceDN w:val="0"/>
        <w:adjustRightInd w:val="0"/>
        <w:spacing w:line="58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w:t>
      </w:r>
      <w:r>
        <w:rPr>
          <w:rFonts w:ascii="Times New Roman" w:hAnsi="Times New Roman" w:eastAsia="宋体" w:cs="Times New Roman"/>
          <w:sz w:val="30"/>
          <w:szCs w:val="30"/>
        </w:rPr>
        <w:t>2023</w:t>
      </w:r>
      <w:r>
        <w:rPr>
          <w:rFonts w:ascii="Times New Roman" w:hAnsi="Times New Roman" w:eastAsia="仿宋_GB2312" w:cs="Times New Roman"/>
          <w:sz w:val="30"/>
          <w:szCs w:val="30"/>
        </w:rPr>
        <w:t>年度财政拨款收入、支出决算总计</w:t>
      </w:r>
      <w:r>
        <w:rPr>
          <w:rFonts w:ascii="Times New Roman" w:hAnsi="Times New Roman" w:eastAsia="仿宋_GB2312" w:cs="Times New Roman"/>
          <w:sz w:val="30"/>
          <w:szCs w:val="30"/>
          <w:lang w:val="zh-CN"/>
        </w:rPr>
        <w:t>5,328,671.99</w:t>
      </w:r>
      <w:r>
        <w:rPr>
          <w:rFonts w:ascii="Times New Roman" w:hAnsi="Times New Roman" w:eastAsia="仿宋_GB2312" w:cs="Times New Roman"/>
          <w:sz w:val="30"/>
          <w:szCs w:val="30"/>
        </w:rPr>
        <w:t>元，与2022年度相比，财政拨款收、支总计各增加794,297.26元，增长17.52%，</w:t>
      </w:r>
      <w:r>
        <w:rPr>
          <w:rFonts w:ascii="Times New Roman" w:hAnsi="Times New Roman" w:eastAsia="仿宋_GB2312" w:cs="Times New Roman"/>
          <w:sz w:val="30"/>
          <w:szCs w:val="30"/>
          <w:lang w:val="zh-CN"/>
        </w:rPr>
        <w:t>主要原因是：</w:t>
      </w:r>
      <w:r>
        <w:rPr>
          <w:rFonts w:ascii="Times New Roman" w:hAnsi="Times New Roman" w:eastAsia="仿宋_GB2312" w:cs="Times New Roman"/>
          <w:sz w:val="30"/>
          <w:szCs w:val="30"/>
        </w:rPr>
        <w:t>单位新入职四名职工，导致财政拨款收入、支出增加。</w:t>
      </w:r>
    </w:p>
    <w:p w14:paraId="02F0FE6E">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lang w:val="zh-CN"/>
        </w:rPr>
      </w:pPr>
      <w:r>
        <w:rPr>
          <w:rFonts w:ascii="Times New Roman" w:hAnsi="Times New Roman" w:eastAsia="黑体" w:cs="Times New Roman"/>
          <w:b/>
          <w:bCs/>
          <w:kern w:val="0"/>
          <w:sz w:val="30"/>
          <w:szCs w:val="30"/>
          <w:lang w:val="zh-CN"/>
        </w:rPr>
        <w:t>五、一般公共预算财政拨款支出决算情况说明</w:t>
      </w:r>
    </w:p>
    <w:p w14:paraId="072C32DC">
      <w:pPr>
        <w:autoSpaceDE w:val="0"/>
        <w:autoSpaceDN w:val="0"/>
        <w:adjustRightInd w:val="0"/>
        <w:spacing w:line="600" w:lineRule="exact"/>
        <w:ind w:left="480"/>
        <w:jc w:val="left"/>
        <w:rPr>
          <w:rFonts w:ascii="Times New Roman" w:hAnsi="Times New Roman" w:eastAsia="楷体" w:cs="Times New Roman"/>
          <w:b/>
          <w:bCs/>
          <w:kern w:val="0"/>
          <w:sz w:val="30"/>
          <w:szCs w:val="30"/>
        </w:rPr>
      </w:pPr>
      <w:r>
        <w:rPr>
          <w:rFonts w:ascii="Times New Roman" w:hAnsi="Times New Roman" w:eastAsia="楷体" w:cs="Times New Roman"/>
          <w:b/>
          <w:bCs/>
          <w:kern w:val="0"/>
          <w:sz w:val="30"/>
          <w:szCs w:val="30"/>
        </w:rPr>
        <w:t>（一）总体情况</w:t>
      </w:r>
    </w:p>
    <w:p w14:paraId="60ED4062">
      <w:pPr>
        <w:autoSpaceDE w:val="0"/>
        <w:autoSpaceDN w:val="0"/>
        <w:adjustRightInd w:val="0"/>
        <w:spacing w:line="600" w:lineRule="exact"/>
        <w:ind w:firstLine="720"/>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天津市滨海新区卫生健康促进中心2023年度部门决算一般公共预算财政拨款支出</w:t>
      </w:r>
      <w:r>
        <w:rPr>
          <w:rFonts w:ascii="Times New Roman" w:hAnsi="Times New Roman" w:eastAsia="仿宋_GB2312" w:cs="Times New Roman"/>
          <w:sz w:val="30"/>
          <w:szCs w:val="30"/>
          <w:lang w:val="zh-CN"/>
        </w:rPr>
        <w:t>合</w:t>
      </w:r>
      <w:r>
        <w:rPr>
          <w:rFonts w:ascii="Times New Roman" w:hAnsi="Times New Roman" w:eastAsia="仿宋_GB2312" w:cs="Times New Roman"/>
          <w:sz w:val="30"/>
          <w:szCs w:val="30"/>
        </w:rPr>
        <w:t>计5,310,671.99元，占本年支出合计的99.66%，与2022年度相比，一般公共预算财政拨款支出增加776,431.89元，增长17.12%，</w:t>
      </w:r>
      <w:r>
        <w:rPr>
          <w:rFonts w:ascii="Times New Roman" w:hAnsi="Times New Roman" w:eastAsia="仿宋_GB2312" w:cs="Times New Roman"/>
          <w:sz w:val="30"/>
          <w:szCs w:val="30"/>
          <w:lang w:val="zh-CN"/>
        </w:rPr>
        <w:t>主要原因是</w:t>
      </w:r>
      <w:r>
        <w:rPr>
          <w:rFonts w:ascii="Times New Roman" w:hAnsi="Times New Roman" w:eastAsia="仿宋_GB2312" w:cs="Times New Roman"/>
          <w:sz w:val="30"/>
          <w:szCs w:val="30"/>
        </w:rPr>
        <w:t>：单位新入职四名职工，人员支出增加。</w:t>
      </w:r>
    </w:p>
    <w:p w14:paraId="675BB7AD">
      <w:pPr>
        <w:autoSpaceDE w:val="0"/>
        <w:autoSpaceDN w:val="0"/>
        <w:adjustRightInd w:val="0"/>
        <w:spacing w:line="600" w:lineRule="exact"/>
        <w:ind w:left="480"/>
        <w:jc w:val="left"/>
        <w:rPr>
          <w:rFonts w:ascii="Times New Roman" w:hAnsi="Times New Roman" w:eastAsia="楷体" w:cs="Times New Roman"/>
          <w:b/>
          <w:bCs/>
          <w:kern w:val="0"/>
          <w:sz w:val="30"/>
          <w:szCs w:val="30"/>
        </w:rPr>
      </w:pPr>
      <w:r>
        <w:rPr>
          <w:rFonts w:ascii="Times New Roman" w:hAnsi="Times New Roman" w:eastAsia="楷体" w:cs="Times New Roman"/>
          <w:b/>
          <w:bCs/>
          <w:kern w:val="0"/>
          <w:sz w:val="30"/>
          <w:szCs w:val="30"/>
        </w:rPr>
        <w:t>（二）</w:t>
      </w:r>
      <w:r>
        <w:rPr>
          <w:rFonts w:ascii="Times New Roman" w:hAnsi="Times New Roman" w:eastAsia="楷体" w:cs="Times New Roman"/>
          <w:b/>
          <w:bCs/>
          <w:kern w:val="0"/>
          <w:sz w:val="30"/>
          <w:szCs w:val="30"/>
          <w:lang w:val="zh-CN"/>
        </w:rPr>
        <w:t>支出结构</w:t>
      </w:r>
      <w:r>
        <w:rPr>
          <w:rFonts w:ascii="Times New Roman" w:hAnsi="Times New Roman" w:eastAsia="楷体" w:cs="Times New Roman"/>
          <w:b/>
          <w:bCs/>
          <w:kern w:val="0"/>
          <w:sz w:val="30"/>
          <w:szCs w:val="30"/>
        </w:rPr>
        <w:t>情况</w:t>
      </w:r>
    </w:p>
    <w:p w14:paraId="540D67B6">
      <w:pPr>
        <w:autoSpaceDE w:val="0"/>
        <w:autoSpaceDN w:val="0"/>
        <w:adjustRightInd w:val="0"/>
        <w:spacing w:line="600" w:lineRule="exact"/>
        <w:ind w:firstLine="72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2023年度一般公共预算财政拨款支出5,310,671.99元，</w:t>
      </w:r>
      <w:r>
        <w:rPr>
          <w:rFonts w:ascii="Times New Roman" w:hAnsi="Times New Roman" w:eastAsia="仿宋_GB2312" w:cs="Times New Roman"/>
          <w:kern w:val="0"/>
          <w:sz w:val="30"/>
          <w:szCs w:val="30"/>
        </w:rPr>
        <w:t>主要用于以下方面：</w:t>
      </w:r>
      <w:r>
        <w:rPr>
          <w:rFonts w:ascii="Times New Roman" w:hAnsi="Times New Roman" w:eastAsia="仿宋_GB2312" w:cs="Times New Roman"/>
          <w:sz w:val="30"/>
          <w:szCs w:val="30"/>
        </w:rPr>
        <w:t>卫生健康支出5</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310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671.99元，占100%。</w:t>
      </w:r>
    </w:p>
    <w:p w14:paraId="580563E3">
      <w:pPr>
        <w:autoSpaceDE w:val="0"/>
        <w:autoSpaceDN w:val="0"/>
        <w:adjustRightInd w:val="0"/>
        <w:spacing w:line="600" w:lineRule="exact"/>
        <w:ind w:left="480"/>
        <w:jc w:val="left"/>
        <w:rPr>
          <w:rFonts w:ascii="Times New Roman" w:hAnsi="Times New Roman" w:eastAsia="楷体" w:cs="Times New Roman"/>
          <w:b/>
          <w:bCs/>
          <w:kern w:val="0"/>
          <w:sz w:val="30"/>
          <w:szCs w:val="30"/>
        </w:rPr>
      </w:pPr>
      <w:r>
        <w:rPr>
          <w:rFonts w:ascii="Times New Roman" w:hAnsi="Times New Roman" w:eastAsia="楷体" w:cs="Times New Roman"/>
          <w:b/>
          <w:bCs/>
          <w:kern w:val="0"/>
          <w:sz w:val="30"/>
          <w:szCs w:val="30"/>
        </w:rPr>
        <w:t>（三）具体情况</w:t>
      </w:r>
    </w:p>
    <w:p w14:paraId="3F39980D">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2023年度一般公共预算财政拨款支出年初预算为</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50</w:t>
      </w:r>
      <w:r>
        <w:rPr>
          <w:rFonts w:hint="eastAsia" w:ascii="Times New Roman" w:hAnsi="Times New Roman" w:eastAsia="仿宋_GB2312" w:cs="Times New Roman"/>
          <w:sz w:val="30"/>
          <w:szCs w:val="30"/>
        </w:rPr>
        <w:t>8,100</w:t>
      </w:r>
      <w:r>
        <w:rPr>
          <w:rFonts w:ascii="Times New Roman" w:hAnsi="Times New Roman" w:eastAsia="仿宋_GB2312" w:cs="Times New Roman"/>
          <w:kern w:val="0"/>
          <w:sz w:val="30"/>
          <w:szCs w:val="30"/>
        </w:rPr>
        <w:t>元，支出决算为</w:t>
      </w:r>
      <w:r>
        <w:rPr>
          <w:rFonts w:ascii="Times New Roman" w:hAnsi="Times New Roman" w:eastAsia="仿宋_GB2312" w:cs="Times New Roman"/>
          <w:sz w:val="30"/>
          <w:szCs w:val="30"/>
        </w:rPr>
        <w:t>5,310,671.99</w:t>
      </w:r>
      <w:r>
        <w:rPr>
          <w:rFonts w:ascii="Times New Roman" w:hAnsi="Times New Roman" w:eastAsia="仿宋_GB2312" w:cs="Times New Roman"/>
          <w:kern w:val="0"/>
          <w:sz w:val="30"/>
          <w:szCs w:val="30"/>
        </w:rPr>
        <w:t>元，完成年初预算的</w:t>
      </w:r>
      <w:r>
        <w:rPr>
          <w:rFonts w:ascii="Times New Roman" w:hAnsi="Times New Roman" w:eastAsia="仿宋_GB2312" w:cs="Times New Roman"/>
          <w:sz w:val="30"/>
          <w:szCs w:val="30"/>
        </w:rPr>
        <w:t>117.81%</w:t>
      </w:r>
      <w:r>
        <w:rPr>
          <w:rFonts w:ascii="Times New Roman" w:hAnsi="Times New Roman" w:eastAsia="仿宋_GB2312" w:cs="Times New Roman"/>
          <w:kern w:val="0"/>
          <w:sz w:val="30"/>
          <w:szCs w:val="30"/>
        </w:rPr>
        <w:t xml:space="preserve">。其中：   </w:t>
      </w:r>
    </w:p>
    <w:p w14:paraId="01390454">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1. 卫生健康支出（类）卫生健康管理事务（款）其他卫生健康管理事务支出（项）年初预算为0元，追加预算10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000元，支出决算为10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000元，完成追加预算的100%，决算数</w:t>
      </w:r>
      <w:r>
        <w:rPr>
          <w:rFonts w:hint="eastAsia" w:ascii="Times New Roman" w:hAnsi="Times New Roman" w:eastAsia="仿宋_GB2312" w:cs="Times New Roman"/>
          <w:sz w:val="30"/>
          <w:szCs w:val="30"/>
        </w:rPr>
        <w:t>等于追加</w:t>
      </w:r>
      <w:r>
        <w:rPr>
          <w:rFonts w:ascii="Times New Roman" w:hAnsi="Times New Roman" w:eastAsia="仿宋_GB2312" w:cs="Times New Roman"/>
          <w:sz w:val="30"/>
          <w:szCs w:val="30"/>
        </w:rPr>
        <w:t>预算数的主要原因是追加预算用于开展健康细胞建设。</w:t>
      </w:r>
      <w:r>
        <w:rPr>
          <w:rFonts w:ascii="Times New Roman" w:hAnsi="Times New Roman" w:eastAsia="仿宋_GB2312" w:cs="Times New Roman"/>
          <w:sz w:val="30"/>
          <w:szCs w:val="30"/>
        </w:rPr>
        <w:br w:type="textWrapping"/>
      </w:r>
      <w:r>
        <w:rPr>
          <w:rFonts w:ascii="Times New Roman" w:hAnsi="Times New Roman" w:eastAsia="仿宋_GB2312" w:cs="Times New Roman"/>
          <w:sz w:val="30"/>
          <w:szCs w:val="30"/>
        </w:rPr>
        <w:t xml:space="preserve">    2. 卫生健康支出（类）公共卫生（款）其他专业公共卫生机构（项）年初预算为</w:t>
      </w:r>
      <w:r>
        <w:rPr>
          <w:rFonts w:hint="eastAsia" w:ascii="Times New Roman" w:hAnsi="Times New Roman" w:eastAsia="仿宋_GB2312" w:cs="Times New Roman"/>
          <w:sz w:val="30"/>
          <w:szCs w:val="30"/>
        </w:rPr>
        <w:t>4,208,100.00</w:t>
      </w:r>
      <w:r>
        <w:rPr>
          <w:rFonts w:ascii="Times New Roman" w:hAnsi="Times New Roman" w:eastAsia="仿宋_GB2312" w:cs="Times New Roman"/>
          <w:sz w:val="30"/>
          <w:szCs w:val="30"/>
        </w:rPr>
        <w:t>元，支出决算为4</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754</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523.93元，完成年初预算的112.98%，决算数大于年初预算数的主要原因是单位新入职四名职工，人员支出增加。</w:t>
      </w:r>
      <w:r>
        <w:rPr>
          <w:rFonts w:ascii="Times New Roman" w:hAnsi="Times New Roman" w:eastAsia="仿宋_GB2312" w:cs="Times New Roman"/>
          <w:sz w:val="30"/>
          <w:szCs w:val="30"/>
        </w:rPr>
        <w:br w:type="textWrapping"/>
      </w:r>
      <w:r>
        <w:rPr>
          <w:rFonts w:ascii="Times New Roman" w:hAnsi="Times New Roman" w:eastAsia="仿宋_GB2312" w:cs="Times New Roman"/>
          <w:sz w:val="30"/>
          <w:szCs w:val="30"/>
        </w:rPr>
        <w:t xml:space="preserve">    3.卫生健康支出（类）公共卫生（款）基本公共卫生机构（项）年初预算为300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000元，支出决算为459</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998.06元，完成年初预算的153.33%，决算数大于年初预算数的主要原因是追加预算用于开展各项健康教育与促进活动。</w:t>
      </w:r>
      <w:r>
        <w:rPr>
          <w:rFonts w:ascii="Times New Roman" w:hAnsi="Times New Roman" w:eastAsia="仿宋_GB2312" w:cs="Times New Roman"/>
          <w:sz w:val="30"/>
          <w:szCs w:val="30"/>
        </w:rPr>
        <w:br w:type="textWrapping"/>
      </w:r>
      <w:r>
        <w:rPr>
          <w:rFonts w:ascii="Times New Roman" w:hAnsi="Times New Roman" w:eastAsia="仿宋_GB2312" w:cs="Times New Roman"/>
          <w:sz w:val="30"/>
          <w:szCs w:val="30"/>
        </w:rPr>
        <w:t xml:space="preserve">    4. 卫生健康支出（类）公共卫生（款）重大公共卫生服务（项）年初预算为0元，追加预算60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150元，支出决算为60</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150元，完成追加预算的100%，决算数</w:t>
      </w:r>
      <w:r>
        <w:rPr>
          <w:rFonts w:hint="eastAsia" w:ascii="Times New Roman" w:hAnsi="Times New Roman" w:eastAsia="仿宋_GB2312" w:cs="Times New Roman"/>
          <w:sz w:val="30"/>
          <w:szCs w:val="30"/>
        </w:rPr>
        <w:t>等于追加</w:t>
      </w:r>
      <w:r>
        <w:rPr>
          <w:rFonts w:ascii="Times New Roman" w:hAnsi="Times New Roman" w:eastAsia="仿宋_GB2312" w:cs="Times New Roman"/>
          <w:sz w:val="30"/>
          <w:szCs w:val="30"/>
        </w:rPr>
        <w:t>预算数的主要原因是追加预算用于开展成人及青少年烟草流行监测、居民健康素养监测等工作。</w:t>
      </w:r>
      <w:r>
        <w:rPr>
          <w:rFonts w:ascii="Times New Roman" w:hAnsi="Times New Roman" w:eastAsia="仿宋_GB2312" w:cs="Times New Roman"/>
          <w:sz w:val="30"/>
          <w:szCs w:val="30"/>
        </w:rPr>
        <w:br w:type="textWrapping"/>
      </w:r>
      <w:r>
        <w:rPr>
          <w:rFonts w:ascii="Times New Roman" w:hAnsi="Times New Roman" w:eastAsia="仿宋_GB2312" w:cs="Times New Roman"/>
          <w:sz w:val="30"/>
          <w:szCs w:val="30"/>
        </w:rPr>
        <w:t xml:space="preserve">    5. 卫生健康支出（类）中医药（款）中医（民族医）药专项（项）年初预算为0元，追加预算26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000元，支出决算为26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000元，完成追加预算的100%，决算数</w:t>
      </w:r>
      <w:r>
        <w:rPr>
          <w:rFonts w:hint="eastAsia" w:ascii="Times New Roman" w:hAnsi="Times New Roman" w:eastAsia="仿宋_GB2312" w:cs="Times New Roman"/>
          <w:sz w:val="30"/>
          <w:szCs w:val="30"/>
        </w:rPr>
        <w:t>等于追加</w:t>
      </w:r>
      <w:r>
        <w:rPr>
          <w:rFonts w:ascii="Times New Roman" w:hAnsi="Times New Roman" w:eastAsia="仿宋_GB2312" w:cs="Times New Roman"/>
          <w:sz w:val="30"/>
          <w:szCs w:val="30"/>
        </w:rPr>
        <w:t>预算数的主要原因是追加预算用于开展中医药健康文化素养调查工作。</w:t>
      </w:r>
    </w:p>
    <w:p w14:paraId="1F316FA0">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六、一般公共预算财政拨款基本支出决算情况说明</w:t>
      </w:r>
    </w:p>
    <w:p w14:paraId="5E18A90F">
      <w:pPr>
        <w:autoSpaceDE w:val="0"/>
        <w:autoSpaceDN w:val="0"/>
        <w:adjustRightInd w:val="0"/>
        <w:spacing w:line="600" w:lineRule="exact"/>
        <w:rPr>
          <w:rFonts w:ascii="Times New Roman" w:hAnsi="Times New Roman" w:eastAsia="仿宋_GB2312" w:cs="Times New Roman"/>
          <w:kern w:val="0"/>
          <w:sz w:val="30"/>
          <w:szCs w:val="30"/>
        </w:rPr>
      </w:pPr>
      <w:r>
        <w:rPr>
          <w:rFonts w:ascii="Times New Roman" w:hAnsi="Times New Roman" w:eastAsia="仿宋_GB2312" w:cs="Times New Roman"/>
          <w:sz w:val="30"/>
          <w:szCs w:val="30"/>
        </w:rPr>
        <w:t xml:space="preserve">    天津市滨海新区卫生健康促进中心</w:t>
      </w:r>
      <w:r>
        <w:rPr>
          <w:rFonts w:ascii="Times New Roman" w:hAnsi="Times New Roman" w:eastAsia="宋体" w:cs="Times New Roman"/>
          <w:sz w:val="30"/>
          <w:szCs w:val="30"/>
        </w:rPr>
        <w:t>2023</w:t>
      </w:r>
      <w:r>
        <w:rPr>
          <w:rFonts w:ascii="Times New Roman" w:hAnsi="Times New Roman" w:eastAsia="仿宋_GB2312" w:cs="Times New Roman"/>
          <w:sz w:val="30"/>
          <w:szCs w:val="30"/>
        </w:rPr>
        <w:t>年度部门决算一般公共预算财政拨款基本支出合计4,754,523.93元，与2022年度相比增加802,253.64元，</w:t>
      </w:r>
      <w:r>
        <w:rPr>
          <w:rFonts w:ascii="Times New Roman" w:hAnsi="Times New Roman" w:eastAsia="仿宋_GB2312" w:cs="Times New Roman"/>
          <w:kern w:val="0"/>
          <w:sz w:val="30"/>
          <w:szCs w:val="30"/>
        </w:rPr>
        <w:t>主要原因是</w:t>
      </w:r>
      <w:r>
        <w:rPr>
          <w:rFonts w:ascii="Times New Roman" w:hAnsi="Times New Roman" w:eastAsia="楷体_GB2312" w:cs="Times New Roman"/>
          <w:sz w:val="30"/>
          <w:szCs w:val="30"/>
        </w:rPr>
        <w:t>：</w:t>
      </w:r>
      <w:r>
        <w:rPr>
          <w:rFonts w:ascii="Times New Roman" w:hAnsi="Times New Roman" w:eastAsia="仿宋_GB2312" w:cs="Times New Roman"/>
          <w:sz w:val="30"/>
          <w:szCs w:val="30"/>
        </w:rPr>
        <w:t>单位新入职四名职工，人员支出增加。</w:t>
      </w:r>
      <w:r>
        <w:rPr>
          <w:rFonts w:ascii="Times New Roman" w:hAnsi="Times New Roman" w:eastAsia="仿宋_GB2312" w:cs="Times New Roman"/>
          <w:kern w:val="0"/>
          <w:sz w:val="30"/>
          <w:szCs w:val="30"/>
        </w:rPr>
        <w:t>其中：</w:t>
      </w:r>
    </w:p>
    <w:p w14:paraId="115E4250">
      <w:pPr>
        <w:autoSpaceDE w:val="0"/>
        <w:autoSpaceDN w:val="0"/>
        <w:adjustRightInd w:val="0"/>
        <w:spacing w:line="600" w:lineRule="exact"/>
        <w:ind w:firstLine="720"/>
        <w:rPr>
          <w:rFonts w:ascii="Times New Roman" w:hAnsi="Times New Roman" w:eastAsia="黑体" w:cs="Times New Roman"/>
          <w:b/>
          <w:bCs/>
          <w:kern w:val="0"/>
          <w:sz w:val="30"/>
          <w:szCs w:val="30"/>
        </w:rPr>
      </w:pPr>
      <w:r>
        <w:rPr>
          <w:rFonts w:ascii="Times New Roman" w:hAnsi="Times New Roman" w:eastAsia="仿宋_GB2312" w:cs="Times New Roman"/>
          <w:kern w:val="0"/>
          <w:sz w:val="30"/>
          <w:szCs w:val="30"/>
        </w:rPr>
        <w:t>人员经费</w:t>
      </w:r>
      <w:r>
        <w:rPr>
          <w:rFonts w:ascii="Times New Roman" w:hAnsi="Times New Roman" w:eastAsia="仿宋_GB2312" w:cs="Times New Roman"/>
          <w:sz w:val="30"/>
          <w:szCs w:val="30"/>
        </w:rPr>
        <w:t>4,523,556.29</w:t>
      </w:r>
      <w:r>
        <w:rPr>
          <w:rFonts w:ascii="Times New Roman" w:hAnsi="Times New Roman" w:eastAsia="仿宋_GB2312" w:cs="Times New Roman"/>
          <w:kern w:val="0"/>
          <w:sz w:val="30"/>
          <w:szCs w:val="30"/>
        </w:rPr>
        <w:t>元，</w:t>
      </w:r>
      <w:r>
        <w:rPr>
          <w:rFonts w:ascii="Times New Roman" w:hAnsi="Times New Roman" w:eastAsia="仿宋_GB2312" w:cs="Times New Roman"/>
          <w:sz w:val="30"/>
          <w:szCs w:val="30"/>
        </w:rPr>
        <w:t>主要包括基本工资、津贴补贴、绩效工资、机关事业单位基本养老保险缴费、职业年金缴费、职工基本医疗保险缴费、其他社会保障缴费、住房公积金、其他工资福利支出、退休费、奖励金。</w:t>
      </w:r>
    </w:p>
    <w:p w14:paraId="1274D438">
      <w:pPr>
        <w:autoSpaceDE w:val="0"/>
        <w:autoSpaceDN w:val="0"/>
        <w:adjustRightInd w:val="0"/>
        <w:spacing w:line="600" w:lineRule="exact"/>
        <w:ind w:firstLine="720"/>
        <w:rPr>
          <w:rFonts w:ascii="Times New Roman" w:hAnsi="Times New Roman" w:eastAsia="黑体" w:cs="Times New Roman"/>
          <w:b/>
          <w:bCs/>
          <w:kern w:val="0"/>
          <w:sz w:val="30"/>
          <w:szCs w:val="30"/>
        </w:rPr>
      </w:pPr>
      <w:r>
        <w:rPr>
          <w:rFonts w:ascii="Times New Roman" w:hAnsi="Times New Roman" w:eastAsia="仿宋_GB2312" w:cs="Times New Roman"/>
          <w:kern w:val="0"/>
          <w:sz w:val="30"/>
          <w:szCs w:val="30"/>
        </w:rPr>
        <w:t>公用经费</w:t>
      </w:r>
      <w:r>
        <w:rPr>
          <w:rFonts w:ascii="Times New Roman" w:hAnsi="Times New Roman" w:eastAsia="仿宋_GB2312" w:cs="Times New Roman"/>
          <w:sz w:val="30"/>
          <w:szCs w:val="30"/>
        </w:rPr>
        <w:t>230,967.64</w:t>
      </w:r>
      <w:r>
        <w:rPr>
          <w:rFonts w:ascii="Times New Roman" w:hAnsi="Times New Roman" w:eastAsia="仿宋_GB2312" w:cs="Times New Roman"/>
          <w:kern w:val="0"/>
          <w:sz w:val="30"/>
          <w:szCs w:val="30"/>
        </w:rPr>
        <w:t>元，</w:t>
      </w:r>
      <w:r>
        <w:rPr>
          <w:rFonts w:ascii="Times New Roman" w:hAnsi="Times New Roman" w:eastAsia="仿宋_GB2312" w:cs="Times New Roman"/>
          <w:sz w:val="30"/>
          <w:szCs w:val="30"/>
        </w:rPr>
        <w:t>主要包括办公费、咨询费、手续费、邮电费、维修(护)费、培训费、劳务费、委托业务费、工会经费、福利费、其他交通费用、其他商品和服务支出、办公设备购置。</w:t>
      </w:r>
    </w:p>
    <w:p w14:paraId="73EE479C">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七、政府性基金预算财政拨款收支决算情况</w:t>
      </w:r>
    </w:p>
    <w:p w14:paraId="183511BF">
      <w:pPr>
        <w:autoSpaceDE w:val="0"/>
        <w:autoSpaceDN w:val="0"/>
        <w:adjustRightInd w:val="0"/>
        <w:spacing w:line="58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天津市滨海新区卫生健康促进中心</w:t>
      </w:r>
      <w:r>
        <w:rPr>
          <w:rFonts w:ascii="Times New Roman" w:hAnsi="Times New Roman" w:eastAsia="宋体" w:cs="Times New Roman"/>
          <w:sz w:val="30"/>
          <w:szCs w:val="30"/>
        </w:rPr>
        <w:t>2023</w:t>
      </w:r>
      <w:r>
        <w:rPr>
          <w:rFonts w:ascii="Times New Roman" w:hAnsi="Times New Roman" w:eastAsia="仿宋_GB2312" w:cs="Times New Roman"/>
          <w:sz w:val="30"/>
          <w:szCs w:val="30"/>
        </w:rPr>
        <w:t>年度部门决算政府性基金预算财政拨款</w:t>
      </w:r>
      <w:r>
        <w:rPr>
          <w:rFonts w:ascii="Times New Roman" w:hAnsi="Times New Roman" w:eastAsia="仿宋_GB2312" w:cs="Times New Roman"/>
          <w:kern w:val="0"/>
          <w:sz w:val="30"/>
          <w:szCs w:val="30"/>
        </w:rPr>
        <w:t>年初结转和结余</w:t>
      </w:r>
      <w:r>
        <w:rPr>
          <w:rFonts w:ascii="Times New Roman" w:hAnsi="Times New Roman" w:eastAsia="仿宋_GB2312" w:cs="Times New Roman"/>
          <w:sz w:val="30"/>
          <w:szCs w:val="30"/>
        </w:rPr>
        <w:t>0.00</w:t>
      </w:r>
      <w:r>
        <w:rPr>
          <w:rFonts w:ascii="Times New Roman" w:hAnsi="Times New Roman" w:eastAsia="仿宋_GB2312" w:cs="Times New Roman"/>
          <w:kern w:val="0"/>
          <w:sz w:val="30"/>
          <w:szCs w:val="30"/>
        </w:rPr>
        <w:t>元，收入</w:t>
      </w:r>
      <w:r>
        <w:rPr>
          <w:rFonts w:ascii="Times New Roman" w:hAnsi="Times New Roman" w:eastAsia="仿宋_GB2312" w:cs="Times New Roman"/>
          <w:sz w:val="30"/>
          <w:szCs w:val="30"/>
        </w:rPr>
        <w:t>18,000.00</w:t>
      </w:r>
      <w:r>
        <w:rPr>
          <w:rFonts w:ascii="Times New Roman" w:hAnsi="Times New Roman" w:eastAsia="仿宋_GB2312" w:cs="Times New Roman"/>
          <w:kern w:val="0"/>
          <w:sz w:val="30"/>
          <w:szCs w:val="30"/>
        </w:rPr>
        <w:t>元，</w:t>
      </w:r>
      <w:r>
        <w:rPr>
          <w:rFonts w:ascii="Times New Roman" w:hAnsi="Times New Roman" w:eastAsia="仿宋_GB2312" w:cs="Times New Roman"/>
          <w:sz w:val="30"/>
          <w:szCs w:val="30"/>
        </w:rPr>
        <w:t>支出18,000.00元，年末结转和结余0.00元。与2022年度相比，政府性基金财政拨款支出增加18,000.00元，增长0.0%，</w:t>
      </w:r>
      <w:r>
        <w:rPr>
          <w:rFonts w:ascii="Times New Roman" w:hAnsi="Times New Roman" w:eastAsia="仿宋_GB2312" w:cs="Times New Roman"/>
          <w:kern w:val="0"/>
          <w:sz w:val="30"/>
          <w:szCs w:val="30"/>
        </w:rPr>
        <w:t>主要原因是</w:t>
      </w:r>
      <w:r>
        <w:rPr>
          <w:rFonts w:ascii="Times New Roman" w:hAnsi="Times New Roman" w:eastAsia="楷体_GB2312" w:cs="Times New Roman"/>
          <w:sz w:val="30"/>
          <w:szCs w:val="30"/>
          <w:lang w:val="zh-CN"/>
        </w:rPr>
        <w:t>：</w:t>
      </w:r>
      <w:r>
        <w:rPr>
          <w:rFonts w:ascii="Times New Roman" w:hAnsi="Times New Roman" w:eastAsia="仿宋_GB2312" w:cs="Times New Roman"/>
          <w:sz w:val="30"/>
          <w:szCs w:val="30"/>
        </w:rPr>
        <w:t>用于开展青少年控烟工作。</w:t>
      </w:r>
    </w:p>
    <w:p w14:paraId="0495C75C">
      <w:pPr>
        <w:autoSpaceDE w:val="0"/>
        <w:autoSpaceDN w:val="0"/>
        <w:adjustRightInd w:val="0"/>
        <w:spacing w:line="600" w:lineRule="exact"/>
        <w:ind w:firstLine="600"/>
        <w:jc w:val="left"/>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八、国有资本经营预算财政拨款收支决算情况说明</w:t>
      </w:r>
    </w:p>
    <w:p w14:paraId="08CD01D8">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天津市滨海新区卫生健康促进中心2023年度无国有资本经营预算财政拨款收入、支出和结转结余。</w:t>
      </w:r>
    </w:p>
    <w:p w14:paraId="03857F25">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九、财政拨款“三公”经费</w:t>
      </w:r>
      <w:r>
        <w:rPr>
          <w:rFonts w:ascii="Times New Roman" w:hAnsi="Times New Roman" w:eastAsia="黑体" w:cs="Times New Roman"/>
          <w:b/>
          <w:bCs/>
          <w:kern w:val="0"/>
          <w:sz w:val="30"/>
          <w:szCs w:val="30"/>
          <w:lang w:val="zh-CN"/>
        </w:rPr>
        <w:t>支出决算</w:t>
      </w:r>
      <w:r>
        <w:rPr>
          <w:rFonts w:ascii="Times New Roman" w:hAnsi="Times New Roman" w:eastAsia="黑体" w:cs="Times New Roman"/>
          <w:b/>
          <w:bCs/>
          <w:kern w:val="0"/>
          <w:sz w:val="30"/>
          <w:szCs w:val="30"/>
        </w:rPr>
        <w:t>情况</w:t>
      </w:r>
    </w:p>
    <w:p w14:paraId="1AE5C125">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6DC843A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bookmarkStart w:id="0" w:name="_GoBack"/>
      <w:bookmarkEnd w:id="0"/>
      <w:r>
        <w:rPr>
          <w:rFonts w:hint="eastAsia" w:ascii="Times New Roman" w:hAnsi="Times New Roman" w:eastAsia="仿宋_GB2312" w:cs="仿宋_GB2312"/>
          <w:sz w:val="30"/>
          <w:szCs w:val="30"/>
        </w:rPr>
        <w:t>。</w:t>
      </w:r>
    </w:p>
    <w:p w14:paraId="0CFE35FE">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329F9EC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53CA82C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5303F9EC">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0A7AB18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1CD63EF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56A9191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66D82B5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4E68595D">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6FB2A243">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0C4D7947">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十、机关运行经费支出情况说明</w:t>
      </w:r>
    </w:p>
    <w:p w14:paraId="7230B957">
      <w:pPr>
        <w:autoSpaceDE w:val="0"/>
        <w:autoSpaceDN w:val="0"/>
        <w:adjustRightInd w:val="0"/>
        <w:spacing w:line="600" w:lineRule="exact"/>
        <w:ind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天津市滨海新区卫生健康促进中心2023年度无机关运行经费。</w:t>
      </w:r>
    </w:p>
    <w:p w14:paraId="2D92E5A1">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rPr>
        <w:t>十一、政府采购支出情况说明</w:t>
      </w:r>
    </w:p>
    <w:p w14:paraId="32381C2D">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color w:val="000000"/>
          <w:kern w:val="0"/>
          <w:sz w:val="30"/>
          <w:szCs w:val="30"/>
        </w:rPr>
        <w:t>天津市滨海新区卫生健康促进中心</w:t>
      </w:r>
      <w:r>
        <w:rPr>
          <w:rFonts w:ascii="Times New Roman" w:hAnsi="Times New Roman" w:eastAsia="宋体" w:cs="Times New Roman"/>
          <w:color w:val="000000"/>
          <w:kern w:val="0"/>
          <w:sz w:val="30"/>
          <w:szCs w:val="30"/>
        </w:rPr>
        <w:t>2023</w:t>
      </w:r>
      <w:r>
        <w:rPr>
          <w:rFonts w:ascii="Times New Roman" w:hAnsi="Times New Roman" w:eastAsia="仿宋_GB2312" w:cs="Times New Roman"/>
          <w:color w:val="000000"/>
          <w:kern w:val="0"/>
          <w:sz w:val="30"/>
          <w:szCs w:val="30"/>
        </w:rPr>
        <w:t>年</w:t>
      </w:r>
      <w:r>
        <w:rPr>
          <w:rFonts w:ascii="Times New Roman" w:hAnsi="Times New Roman" w:eastAsia="仿宋_GB2312" w:cs="Times New Roman"/>
          <w:sz w:val="30"/>
          <w:szCs w:val="30"/>
        </w:rPr>
        <w:t>政府</w:t>
      </w:r>
      <w:r>
        <w:rPr>
          <w:rFonts w:ascii="Times New Roman" w:hAnsi="Times New Roman" w:eastAsia="仿宋_GB2312" w:cs="Times New Roman"/>
          <w:color w:val="000000"/>
          <w:kern w:val="0"/>
          <w:sz w:val="30"/>
          <w:szCs w:val="30"/>
        </w:rPr>
        <w:t>采购支出总额</w:t>
      </w:r>
      <w:r>
        <w:rPr>
          <w:rFonts w:ascii="Times New Roman" w:hAnsi="Times New Roman" w:eastAsia="仿宋_GB2312" w:cs="Times New Roman"/>
          <w:kern w:val="0"/>
          <w:sz w:val="30"/>
          <w:szCs w:val="30"/>
        </w:rPr>
        <w:t>46,989.00</w:t>
      </w:r>
      <w:r>
        <w:rPr>
          <w:rFonts w:ascii="Times New Roman" w:hAnsi="Times New Roman" w:eastAsia="仿宋_GB2312" w:cs="Times New Roman"/>
          <w:color w:val="000000"/>
          <w:kern w:val="0"/>
          <w:sz w:val="30"/>
          <w:szCs w:val="30"/>
        </w:rPr>
        <w:t>元，其中：政府采购货物支出</w:t>
      </w:r>
      <w:r>
        <w:rPr>
          <w:rFonts w:ascii="Times New Roman" w:hAnsi="Times New Roman" w:eastAsia="仿宋_GB2312" w:cs="Times New Roman"/>
          <w:kern w:val="0"/>
          <w:sz w:val="30"/>
          <w:szCs w:val="30"/>
        </w:rPr>
        <w:t>46,989.00</w:t>
      </w:r>
      <w:r>
        <w:rPr>
          <w:rFonts w:ascii="Times New Roman" w:hAnsi="Times New Roman" w:eastAsia="仿宋_GB2312" w:cs="Times New Roman"/>
          <w:color w:val="000000"/>
          <w:kern w:val="0"/>
          <w:sz w:val="30"/>
          <w:szCs w:val="30"/>
        </w:rPr>
        <w:t>元、政府采购工程支出</w:t>
      </w:r>
      <w:r>
        <w:rPr>
          <w:rFonts w:ascii="Times New Roman" w:hAnsi="Times New Roman" w:eastAsia="仿宋_GB2312" w:cs="Times New Roman"/>
          <w:kern w:val="0"/>
          <w:sz w:val="30"/>
          <w:szCs w:val="30"/>
        </w:rPr>
        <w:t>0.00</w:t>
      </w:r>
      <w:r>
        <w:rPr>
          <w:rFonts w:ascii="Times New Roman" w:hAnsi="Times New Roman" w:eastAsia="仿宋_GB2312" w:cs="Times New Roman"/>
          <w:color w:val="000000"/>
          <w:kern w:val="0"/>
          <w:sz w:val="30"/>
          <w:szCs w:val="30"/>
        </w:rPr>
        <w:t>元、政府采购服务支出</w:t>
      </w:r>
      <w:r>
        <w:rPr>
          <w:rFonts w:ascii="Times New Roman" w:hAnsi="Times New Roman" w:eastAsia="仿宋_GB2312" w:cs="Times New Roman"/>
          <w:kern w:val="0"/>
          <w:sz w:val="30"/>
          <w:szCs w:val="30"/>
        </w:rPr>
        <w:t>0.00</w:t>
      </w:r>
      <w:r>
        <w:rPr>
          <w:rFonts w:ascii="Times New Roman" w:hAnsi="Times New Roman" w:eastAsia="仿宋_GB2312" w:cs="Times New Roman"/>
          <w:color w:val="000000"/>
          <w:kern w:val="0"/>
          <w:sz w:val="30"/>
          <w:szCs w:val="30"/>
        </w:rPr>
        <w:t>元。授予中小企业合同金额</w:t>
      </w:r>
      <w:r>
        <w:rPr>
          <w:rFonts w:ascii="Times New Roman" w:hAnsi="Times New Roman" w:eastAsia="仿宋_GB2312" w:cs="Times New Roman"/>
          <w:kern w:val="0"/>
          <w:sz w:val="30"/>
          <w:szCs w:val="30"/>
        </w:rPr>
        <w:t>46</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989</w:t>
      </w:r>
      <w:r>
        <w:rPr>
          <w:rFonts w:ascii="Times New Roman" w:hAnsi="Times New Roman" w:eastAsia="仿宋_GB2312" w:cs="Times New Roman"/>
          <w:color w:val="000000"/>
          <w:kern w:val="0"/>
          <w:sz w:val="30"/>
          <w:szCs w:val="30"/>
        </w:rPr>
        <w:t>元，占政府采购支出总额的</w:t>
      </w:r>
      <w:r>
        <w:rPr>
          <w:rFonts w:ascii="Times New Roman" w:hAnsi="Times New Roman" w:eastAsia="仿宋_GB2312" w:cs="Times New Roman"/>
          <w:kern w:val="0"/>
          <w:sz w:val="30"/>
          <w:szCs w:val="30"/>
        </w:rPr>
        <w:t>100.0%</w:t>
      </w:r>
      <w:r>
        <w:rPr>
          <w:rFonts w:ascii="Times New Roman" w:hAnsi="Times New Roman" w:eastAsia="仿宋_GB2312" w:cs="Times New Roman"/>
          <w:color w:val="000000"/>
          <w:kern w:val="0"/>
          <w:sz w:val="30"/>
          <w:szCs w:val="30"/>
        </w:rPr>
        <w:t>，其中：授予小微企业合同金额</w:t>
      </w:r>
      <w:r>
        <w:rPr>
          <w:rFonts w:ascii="Times New Roman" w:hAnsi="Times New Roman" w:eastAsia="仿宋_GB2312" w:cs="Times New Roman"/>
          <w:kern w:val="0"/>
          <w:sz w:val="30"/>
          <w:szCs w:val="30"/>
        </w:rPr>
        <w:t>46,989.00</w:t>
      </w:r>
      <w:r>
        <w:rPr>
          <w:rFonts w:ascii="Times New Roman" w:hAnsi="Times New Roman" w:eastAsia="仿宋_GB2312" w:cs="Times New Roman"/>
          <w:color w:val="000000"/>
          <w:kern w:val="0"/>
          <w:sz w:val="30"/>
          <w:szCs w:val="30"/>
        </w:rPr>
        <w:t>元，占政府采购支出总额的</w:t>
      </w:r>
      <w:r>
        <w:rPr>
          <w:rFonts w:ascii="Times New Roman" w:hAnsi="Times New Roman" w:eastAsia="仿宋_GB2312" w:cs="Times New Roman"/>
          <w:kern w:val="0"/>
          <w:sz w:val="30"/>
          <w:szCs w:val="30"/>
        </w:rPr>
        <w:t>100.0%</w:t>
      </w:r>
      <w:r>
        <w:rPr>
          <w:rFonts w:ascii="Times New Roman" w:hAnsi="Times New Roman" w:eastAsia="仿宋_GB2312" w:cs="Times New Roman"/>
          <w:color w:val="000000"/>
          <w:kern w:val="0"/>
          <w:sz w:val="30"/>
          <w:szCs w:val="30"/>
        </w:rPr>
        <w:t>；</w:t>
      </w:r>
      <w:r>
        <w:rPr>
          <w:rFonts w:ascii="Times New Roman" w:hAnsi="Times New Roman" w:eastAsia="仿宋_GB2312" w:cs="Times New Roman"/>
          <w:kern w:val="0"/>
          <w:sz w:val="30"/>
          <w:szCs w:val="30"/>
        </w:rPr>
        <w:t>货物采购授予中小企业合同金额占货物支出金额的</w:t>
      </w:r>
      <w:r>
        <w:rPr>
          <w:rFonts w:ascii="Times New Roman" w:hAnsi="Times New Roman" w:eastAsia="仿宋_GB2312" w:cs="Times New Roman"/>
          <w:sz w:val="30"/>
          <w:szCs w:val="30"/>
        </w:rPr>
        <w:t>100</w:t>
      </w:r>
      <w:r>
        <w:rPr>
          <w:rFonts w:ascii="Times New Roman" w:hAnsi="Times New Roman" w:eastAsia="仿宋_GB2312" w:cs="Times New Roman"/>
          <w:kern w:val="0"/>
          <w:sz w:val="30"/>
          <w:szCs w:val="30"/>
        </w:rPr>
        <w:t>%，工程采购授予中小企业合同金额占工程支出金额的</w:t>
      </w:r>
      <w:r>
        <w:rPr>
          <w:rFonts w:ascii="Times New Roman" w:hAnsi="Times New Roman" w:eastAsia="仿宋_GB2312" w:cs="Times New Roman"/>
          <w:sz w:val="30"/>
          <w:szCs w:val="30"/>
        </w:rPr>
        <w:t>0.0</w:t>
      </w:r>
      <w:r>
        <w:rPr>
          <w:rFonts w:ascii="Times New Roman" w:hAnsi="Times New Roman" w:eastAsia="仿宋_GB2312" w:cs="Times New Roman"/>
          <w:kern w:val="0"/>
          <w:sz w:val="30"/>
          <w:szCs w:val="30"/>
        </w:rPr>
        <w:t>%，服务采购授予中小企业合同金额占服务支出金额的</w:t>
      </w:r>
      <w:r>
        <w:rPr>
          <w:rFonts w:ascii="Times New Roman" w:hAnsi="Times New Roman" w:eastAsia="仿宋_GB2312" w:cs="Times New Roman"/>
          <w:sz w:val="30"/>
          <w:szCs w:val="30"/>
        </w:rPr>
        <w:t>0.0</w:t>
      </w:r>
      <w:r>
        <w:rPr>
          <w:rFonts w:ascii="Times New Roman" w:hAnsi="Times New Roman" w:eastAsia="仿宋_GB2312" w:cs="Times New Roman"/>
          <w:kern w:val="0"/>
          <w:sz w:val="30"/>
          <w:szCs w:val="30"/>
        </w:rPr>
        <w:t>%。</w:t>
      </w:r>
    </w:p>
    <w:p w14:paraId="7CEB7355">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lang w:val="zh-CN"/>
        </w:rPr>
        <w:t>十二、</w:t>
      </w:r>
      <w:r>
        <w:rPr>
          <w:rFonts w:ascii="Times New Roman" w:hAnsi="Times New Roman" w:eastAsia="黑体" w:cs="Times New Roman"/>
          <w:b/>
          <w:bCs/>
          <w:kern w:val="0"/>
          <w:sz w:val="30"/>
          <w:szCs w:val="30"/>
        </w:rPr>
        <w:t>国有资产占有使用情况说明</w:t>
      </w:r>
    </w:p>
    <w:p w14:paraId="6F3EE74E">
      <w:pPr>
        <w:autoSpaceDE w:val="0"/>
        <w:autoSpaceDN w:val="0"/>
        <w:adjustRightInd w:val="0"/>
        <w:spacing w:line="60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天津市滨海新区卫生健康促进中心2023年度无国有资产占有使用情况。</w:t>
      </w:r>
    </w:p>
    <w:p w14:paraId="126E2F14">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lang w:val="zh-CN"/>
        </w:rPr>
        <w:t>十三、</w:t>
      </w:r>
      <w:r>
        <w:rPr>
          <w:rFonts w:ascii="Times New Roman" w:hAnsi="Times New Roman" w:eastAsia="黑体" w:cs="Times New Roman"/>
          <w:b/>
          <w:bCs/>
          <w:kern w:val="0"/>
          <w:sz w:val="30"/>
          <w:szCs w:val="30"/>
        </w:rPr>
        <w:t>预算绩效情况说明</w:t>
      </w:r>
    </w:p>
    <w:p w14:paraId="13D002C9">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根据预算绩效管理要求，天津市滨海新区卫生健康促进中心2023年度已对8个项目开展绩效自评，涉及金额574</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148.06元，自评结果已随部门决算一并公开。</w:t>
      </w:r>
    </w:p>
    <w:p w14:paraId="34DCD4DB">
      <w:pPr>
        <w:keepNext/>
        <w:keepLines/>
        <w:autoSpaceDE w:val="0"/>
        <w:autoSpaceDN w:val="0"/>
        <w:adjustRightInd w:val="0"/>
        <w:spacing w:line="600" w:lineRule="exact"/>
        <w:ind w:firstLine="602"/>
        <w:jc w:val="left"/>
        <w:outlineLvl w:val="1"/>
        <w:rPr>
          <w:rFonts w:ascii="Times New Roman" w:hAnsi="Times New Roman" w:eastAsia="黑体" w:cs="Times New Roman"/>
          <w:b/>
          <w:bCs/>
          <w:kern w:val="0"/>
          <w:sz w:val="30"/>
          <w:szCs w:val="30"/>
        </w:rPr>
      </w:pPr>
      <w:r>
        <w:rPr>
          <w:rFonts w:ascii="Times New Roman" w:hAnsi="Times New Roman" w:eastAsia="黑体" w:cs="Times New Roman"/>
          <w:b/>
          <w:bCs/>
          <w:kern w:val="0"/>
          <w:sz w:val="30"/>
          <w:szCs w:val="30"/>
          <w:lang w:val="zh-CN"/>
        </w:rPr>
        <w:t>十四、</w:t>
      </w:r>
      <w:r>
        <w:rPr>
          <w:rFonts w:ascii="Times New Roman" w:hAnsi="Times New Roman" w:eastAsia="黑体" w:cs="Times New Roman"/>
          <w:b/>
          <w:bCs/>
          <w:kern w:val="0"/>
          <w:sz w:val="30"/>
          <w:szCs w:val="30"/>
        </w:rPr>
        <w:t>教育、医疗卫生、社会保障和就业、住房保障、涉农补贴等民生支出情况说明</w:t>
      </w:r>
    </w:p>
    <w:p w14:paraId="4D8EEEE1">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天津市滨海新区卫生健康促进中心不属于乡、镇、街级单位，不涉及公开2023年度教育、医疗卫生、社会保障和就业、住房保障、涉农补贴等民生支出情况。</w:t>
      </w:r>
    </w:p>
    <w:p w14:paraId="525D8F74">
      <w:pPr>
        <w:autoSpaceDE w:val="0"/>
        <w:autoSpaceDN w:val="0"/>
        <w:adjustRightInd w:val="0"/>
        <w:rPr>
          <w:rFonts w:ascii="Times New Roman" w:hAnsi="Times New Roman" w:eastAsia="仿宋_GB2312" w:cs="Times New Roman"/>
          <w:b/>
          <w:bCs/>
          <w:color w:val="000000"/>
          <w:kern w:val="0"/>
          <w:sz w:val="30"/>
          <w:szCs w:val="30"/>
        </w:rPr>
      </w:pPr>
      <w:r>
        <w:rPr>
          <w:rFonts w:ascii="Times New Roman" w:hAnsi="Times New Roman" w:eastAsia="仿宋_GB2312" w:cs="Times New Roman"/>
          <w:b/>
          <w:bCs/>
          <w:color w:val="000000"/>
          <w:kern w:val="0"/>
          <w:sz w:val="30"/>
          <w:szCs w:val="30"/>
        </w:rPr>
        <w:br w:type="page"/>
      </w:r>
    </w:p>
    <w:p w14:paraId="6051263A">
      <w:pPr>
        <w:keepNext/>
        <w:keepLines/>
        <w:autoSpaceDE w:val="0"/>
        <w:autoSpaceDN w:val="0"/>
        <w:adjustRightInd w:val="0"/>
        <w:spacing w:line="600" w:lineRule="exact"/>
        <w:jc w:val="center"/>
        <w:outlineLvl w:val="0"/>
        <w:rPr>
          <w:rFonts w:ascii="Times New Roman" w:hAnsi="Times New Roman" w:eastAsia="方正小标宋简体" w:cs="Times New Roman"/>
          <w:kern w:val="44"/>
          <w:sz w:val="44"/>
          <w:szCs w:val="44"/>
        </w:rPr>
      </w:pPr>
      <w:r>
        <w:rPr>
          <w:rFonts w:ascii="Times New Roman" w:hAnsi="Times New Roman" w:eastAsia="方正小标宋简体" w:cs="Times New Roman"/>
          <w:kern w:val="44"/>
          <w:sz w:val="44"/>
          <w:szCs w:val="44"/>
        </w:rPr>
        <w:t>第四部分名词解释</w:t>
      </w:r>
    </w:p>
    <w:p w14:paraId="6CC8733B">
      <w:pPr>
        <w:autoSpaceDE w:val="0"/>
        <w:autoSpaceDN w:val="0"/>
        <w:adjustRightInd w:val="0"/>
        <w:spacing w:line="600" w:lineRule="exact"/>
        <w:ind w:firstLine="600"/>
        <w:jc w:val="left"/>
        <w:rPr>
          <w:rFonts w:ascii="Times New Roman" w:hAnsi="Times New Roman" w:eastAsia="仿宋_GB2312" w:cs="Times New Roman"/>
          <w:kern w:val="0"/>
          <w:sz w:val="30"/>
          <w:szCs w:val="30"/>
        </w:rPr>
      </w:pPr>
    </w:p>
    <w:p w14:paraId="2BDB2B4B">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0D7DEFE">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8697AFC">
      <w:pPr>
        <w:autoSpaceDE w:val="0"/>
        <w:autoSpaceDN w:val="0"/>
        <w:adjustRightInd w:val="0"/>
        <w:spacing w:line="600" w:lineRule="exact"/>
        <w:ind w:firstLine="600"/>
        <w:rPr>
          <w:rFonts w:ascii="Times New Roman" w:hAnsi="Times New Roman" w:cs="Times New Roman"/>
        </w:rPr>
      </w:pPr>
      <w:r>
        <w:rPr>
          <w:rFonts w:ascii="Times New Roman" w:hAnsi="Times New Roman" w:eastAsia="仿宋_GB2312" w:cs="Times New Roman"/>
          <w:kern w:val="0"/>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2A8E"/>
    <w:rsid w:val="001B5C3C"/>
    <w:rsid w:val="001C0399"/>
    <w:rsid w:val="001C65ED"/>
    <w:rsid w:val="001D587E"/>
    <w:rsid w:val="002124F6"/>
    <w:rsid w:val="00264B59"/>
    <w:rsid w:val="00265394"/>
    <w:rsid w:val="002A4997"/>
    <w:rsid w:val="002E6086"/>
    <w:rsid w:val="00302490"/>
    <w:rsid w:val="003227B2"/>
    <w:rsid w:val="003536BE"/>
    <w:rsid w:val="003B25FB"/>
    <w:rsid w:val="003F7F75"/>
    <w:rsid w:val="004A482F"/>
    <w:rsid w:val="004F39BF"/>
    <w:rsid w:val="005062D7"/>
    <w:rsid w:val="005175E6"/>
    <w:rsid w:val="00525157"/>
    <w:rsid w:val="00531FD8"/>
    <w:rsid w:val="005349A2"/>
    <w:rsid w:val="00575537"/>
    <w:rsid w:val="0057745B"/>
    <w:rsid w:val="00591732"/>
    <w:rsid w:val="005A151C"/>
    <w:rsid w:val="005D1367"/>
    <w:rsid w:val="005D3F56"/>
    <w:rsid w:val="00654D17"/>
    <w:rsid w:val="006623EC"/>
    <w:rsid w:val="006631E2"/>
    <w:rsid w:val="006A094D"/>
    <w:rsid w:val="006D2409"/>
    <w:rsid w:val="006E65DB"/>
    <w:rsid w:val="00703785"/>
    <w:rsid w:val="007038A4"/>
    <w:rsid w:val="00767866"/>
    <w:rsid w:val="00776FF3"/>
    <w:rsid w:val="0078156E"/>
    <w:rsid w:val="00786E74"/>
    <w:rsid w:val="007B54A9"/>
    <w:rsid w:val="007D1285"/>
    <w:rsid w:val="007D440C"/>
    <w:rsid w:val="007E49E1"/>
    <w:rsid w:val="007F6DA7"/>
    <w:rsid w:val="008174D5"/>
    <w:rsid w:val="00885126"/>
    <w:rsid w:val="008956A1"/>
    <w:rsid w:val="0089698B"/>
    <w:rsid w:val="008D2C92"/>
    <w:rsid w:val="008D48A9"/>
    <w:rsid w:val="008E0549"/>
    <w:rsid w:val="00941A30"/>
    <w:rsid w:val="00955737"/>
    <w:rsid w:val="00977DCC"/>
    <w:rsid w:val="009820CF"/>
    <w:rsid w:val="00982A8B"/>
    <w:rsid w:val="00995918"/>
    <w:rsid w:val="009A7ED3"/>
    <w:rsid w:val="009D74D7"/>
    <w:rsid w:val="00A1531D"/>
    <w:rsid w:val="00A57AE7"/>
    <w:rsid w:val="00AC0BE0"/>
    <w:rsid w:val="00AF71AE"/>
    <w:rsid w:val="00B33C70"/>
    <w:rsid w:val="00B66F4E"/>
    <w:rsid w:val="00B75228"/>
    <w:rsid w:val="00B811F1"/>
    <w:rsid w:val="00B81B9F"/>
    <w:rsid w:val="00BC763A"/>
    <w:rsid w:val="00BC7D6F"/>
    <w:rsid w:val="00BD2702"/>
    <w:rsid w:val="00BD3CAC"/>
    <w:rsid w:val="00BF697A"/>
    <w:rsid w:val="00C52E77"/>
    <w:rsid w:val="00C65A44"/>
    <w:rsid w:val="00C76AC3"/>
    <w:rsid w:val="00C83EB4"/>
    <w:rsid w:val="00D25E3C"/>
    <w:rsid w:val="00D4505A"/>
    <w:rsid w:val="00D65B41"/>
    <w:rsid w:val="00DC3234"/>
    <w:rsid w:val="00DC3CD0"/>
    <w:rsid w:val="00DD60B5"/>
    <w:rsid w:val="00E7602B"/>
    <w:rsid w:val="00E964B2"/>
    <w:rsid w:val="00EA6549"/>
    <w:rsid w:val="00EE38DE"/>
    <w:rsid w:val="00F007FE"/>
    <w:rsid w:val="00F57503"/>
    <w:rsid w:val="00F60772"/>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AF83C39"/>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2C040D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B1310C"/>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9E43-8AFA-4AC3-B39C-9CEFA1EE15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4552</Words>
  <Characters>5228</Characters>
  <Lines>38</Lines>
  <Paragraphs>10</Paragraphs>
  <TotalTime>0</TotalTime>
  <ScaleCrop>false</ScaleCrop>
  <LinksUpToDate>false</LinksUpToDate>
  <CharactersWithSpaces>5265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2024-09-24T06:12:00Z</dcterms:created>
  <dc:creator>office</dc:creator>
  <cp:lastModifiedBy>S.mile</cp:lastModifiedBy>
  <dcterms:modified xsi:type="dcterms:W3CDTF">2025-11-03T09:26:30Z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A44E0A178634409BBBA50D5636087390_13</vt:lpwstr>
  </property>
  <property fmtid="{D5CDD505-2E9C-101B-9397-08002B2CF9AE}" pid="4" name="KSOTemplateDocerSaveRecord">
    <vt:lpwstr>eyJoZGlkIjoiMzEwNTM5NzYwMDRjMzkwZTVkZjY2ODkwMGIxNGU0OTUiLCJ1c2VySWQiOiIyNDA2NzM0NzUifQ==</vt:lpwstr>
  </property>
</Properties>
</file>