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32" w:rsidRDefault="00576232">
      <w:pPr>
        <w:autoSpaceDE w:val="0"/>
        <w:autoSpaceDN w:val="0"/>
        <w:adjustRightInd w:val="0"/>
        <w:jc w:val="center"/>
        <w:rPr>
          <w:rFonts w:ascii="Times New Roman" w:eastAsia="方正小标宋简体" w:hAnsi="Times New Roman" w:cs="方正小标宋简体"/>
          <w:kern w:val="0"/>
          <w:sz w:val="48"/>
          <w:szCs w:val="48"/>
          <w:lang w:val="zh-CN"/>
        </w:rPr>
      </w:pPr>
    </w:p>
    <w:p w:rsidR="00576232" w:rsidRDefault="00576232">
      <w:pPr>
        <w:autoSpaceDE w:val="0"/>
        <w:autoSpaceDN w:val="0"/>
        <w:adjustRightInd w:val="0"/>
        <w:jc w:val="center"/>
        <w:rPr>
          <w:rFonts w:ascii="Times New Roman" w:eastAsia="方正小标宋简体" w:hAnsi="Times New Roman" w:cs="方正小标宋简体"/>
          <w:kern w:val="0"/>
          <w:sz w:val="48"/>
          <w:szCs w:val="48"/>
          <w:lang w:val="zh-CN"/>
        </w:rPr>
      </w:pPr>
    </w:p>
    <w:p w:rsidR="00576232" w:rsidRDefault="00576232">
      <w:pPr>
        <w:autoSpaceDE w:val="0"/>
        <w:autoSpaceDN w:val="0"/>
        <w:adjustRightInd w:val="0"/>
        <w:jc w:val="center"/>
        <w:rPr>
          <w:rFonts w:ascii="Times New Roman" w:eastAsia="方正小标宋简体" w:hAnsi="Times New Roman" w:cs="方正小标宋简体"/>
          <w:kern w:val="0"/>
          <w:sz w:val="48"/>
          <w:szCs w:val="48"/>
          <w:lang w:val="zh-CN"/>
        </w:rPr>
      </w:pPr>
    </w:p>
    <w:p w:rsidR="00576232" w:rsidRDefault="00576232">
      <w:pPr>
        <w:autoSpaceDE w:val="0"/>
        <w:autoSpaceDN w:val="0"/>
        <w:adjustRightInd w:val="0"/>
        <w:jc w:val="center"/>
        <w:rPr>
          <w:rFonts w:ascii="Times New Roman" w:eastAsia="方正小标宋简体" w:hAnsi="Times New Roman" w:cs="方正小标宋简体"/>
          <w:kern w:val="0"/>
          <w:sz w:val="48"/>
          <w:szCs w:val="48"/>
          <w:lang w:val="zh-CN"/>
        </w:rPr>
      </w:pPr>
    </w:p>
    <w:p w:rsidR="00576232" w:rsidRDefault="00576232">
      <w:pPr>
        <w:autoSpaceDE w:val="0"/>
        <w:autoSpaceDN w:val="0"/>
        <w:adjustRightInd w:val="0"/>
        <w:jc w:val="center"/>
        <w:rPr>
          <w:rFonts w:ascii="Times New Roman" w:eastAsia="方正小标宋简体" w:hAnsi="Times New Roman" w:cs="方正小标宋简体"/>
          <w:kern w:val="0"/>
          <w:sz w:val="48"/>
          <w:szCs w:val="48"/>
          <w:lang w:val="zh-CN"/>
        </w:rPr>
      </w:pPr>
    </w:p>
    <w:p w:rsidR="00576232" w:rsidRDefault="00576232">
      <w:pPr>
        <w:autoSpaceDE w:val="0"/>
        <w:autoSpaceDN w:val="0"/>
        <w:adjustRightInd w:val="0"/>
        <w:jc w:val="center"/>
        <w:rPr>
          <w:rFonts w:ascii="Times New Roman" w:eastAsia="方正小标宋简体" w:hAnsi="Times New Roman" w:cs="方正小标宋简体"/>
          <w:kern w:val="0"/>
          <w:sz w:val="48"/>
          <w:szCs w:val="48"/>
          <w:lang w:val="zh-CN"/>
        </w:rPr>
      </w:pPr>
    </w:p>
    <w:p w:rsidR="00576232" w:rsidRDefault="00576232">
      <w:pPr>
        <w:autoSpaceDE w:val="0"/>
        <w:autoSpaceDN w:val="0"/>
        <w:adjustRightInd w:val="0"/>
        <w:jc w:val="center"/>
        <w:rPr>
          <w:rFonts w:ascii="Times New Roman" w:eastAsia="方正小标宋简体" w:hAnsi="Times New Roman" w:cs="方正小标宋简体"/>
          <w:kern w:val="0"/>
          <w:sz w:val="48"/>
          <w:szCs w:val="48"/>
          <w:lang w:val="zh-CN"/>
        </w:rPr>
      </w:pPr>
    </w:p>
    <w:p w:rsidR="00576232" w:rsidRDefault="00576232">
      <w:pPr>
        <w:autoSpaceDE w:val="0"/>
        <w:autoSpaceDN w:val="0"/>
        <w:adjustRightInd w:val="0"/>
        <w:jc w:val="center"/>
        <w:rPr>
          <w:rFonts w:ascii="Times New Roman" w:eastAsia="方正小标宋简体" w:hAnsi="Times New Roman" w:cs="方正小标宋简体"/>
          <w:kern w:val="0"/>
          <w:sz w:val="48"/>
          <w:szCs w:val="48"/>
          <w:lang w:val="zh-CN"/>
        </w:rPr>
      </w:pPr>
    </w:p>
    <w:p w:rsidR="00576232" w:rsidRDefault="00AF409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天津市滨海新区太平镇社区卫生服务中心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576232" w:rsidRDefault="00576232">
      <w:pPr>
        <w:autoSpaceDE w:val="0"/>
        <w:autoSpaceDN w:val="0"/>
        <w:adjustRightInd w:val="0"/>
        <w:spacing w:line="580" w:lineRule="exact"/>
        <w:jc w:val="center"/>
        <w:rPr>
          <w:rFonts w:ascii="Times New Roman" w:eastAsia="黑体" w:hAnsi="Times New Roman" w:cs="黑体"/>
          <w:sz w:val="30"/>
          <w:szCs w:val="30"/>
        </w:rPr>
      </w:pPr>
    </w:p>
    <w:p w:rsidR="00576232" w:rsidRDefault="00576232">
      <w:pPr>
        <w:autoSpaceDE w:val="0"/>
        <w:autoSpaceDN w:val="0"/>
        <w:adjustRightInd w:val="0"/>
        <w:spacing w:line="580" w:lineRule="exact"/>
        <w:jc w:val="center"/>
        <w:rPr>
          <w:rFonts w:ascii="Times New Roman" w:eastAsia="黑体" w:hAnsi="Times New Roman" w:cs="黑体"/>
          <w:sz w:val="30"/>
          <w:szCs w:val="30"/>
        </w:rPr>
      </w:pPr>
    </w:p>
    <w:p w:rsidR="00576232" w:rsidRDefault="00576232">
      <w:pPr>
        <w:autoSpaceDE w:val="0"/>
        <w:autoSpaceDN w:val="0"/>
        <w:adjustRightInd w:val="0"/>
        <w:spacing w:line="580" w:lineRule="exact"/>
        <w:jc w:val="center"/>
        <w:rPr>
          <w:rFonts w:ascii="Times New Roman" w:eastAsia="黑体" w:hAnsi="Times New Roman" w:cs="黑体"/>
          <w:sz w:val="30"/>
          <w:szCs w:val="30"/>
        </w:rPr>
      </w:pPr>
    </w:p>
    <w:p w:rsidR="00576232" w:rsidRDefault="00576232">
      <w:pPr>
        <w:autoSpaceDE w:val="0"/>
        <w:autoSpaceDN w:val="0"/>
        <w:adjustRightInd w:val="0"/>
        <w:spacing w:line="580" w:lineRule="exact"/>
        <w:jc w:val="center"/>
        <w:rPr>
          <w:rFonts w:ascii="Times New Roman" w:eastAsia="黑体" w:hAnsi="Times New Roman" w:cs="黑体"/>
          <w:sz w:val="30"/>
          <w:szCs w:val="30"/>
        </w:rPr>
      </w:pPr>
    </w:p>
    <w:p w:rsidR="00576232" w:rsidRDefault="00576232">
      <w:pPr>
        <w:autoSpaceDE w:val="0"/>
        <w:autoSpaceDN w:val="0"/>
        <w:adjustRightInd w:val="0"/>
        <w:spacing w:line="580" w:lineRule="exact"/>
        <w:jc w:val="center"/>
        <w:rPr>
          <w:rFonts w:ascii="Times New Roman" w:eastAsia="黑体" w:hAnsi="Times New Roman" w:cs="黑体"/>
          <w:sz w:val="30"/>
          <w:szCs w:val="30"/>
        </w:rPr>
      </w:pPr>
    </w:p>
    <w:p w:rsidR="00576232" w:rsidRDefault="00AF409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576232" w:rsidRDefault="00AF409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576232" w:rsidRDefault="00576232">
      <w:pPr>
        <w:autoSpaceDE w:val="0"/>
        <w:autoSpaceDN w:val="0"/>
        <w:adjustRightInd w:val="0"/>
        <w:spacing w:line="600" w:lineRule="exact"/>
        <w:jc w:val="left"/>
        <w:rPr>
          <w:rFonts w:ascii="Times New Roman" w:eastAsia="黑体" w:hAnsi="Times New Roman" w:cs="黑体"/>
          <w:kern w:val="0"/>
          <w:sz w:val="30"/>
          <w:szCs w:val="30"/>
        </w:rPr>
      </w:pPr>
    </w:p>
    <w:p w:rsidR="00576232" w:rsidRDefault="00AF409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576232" w:rsidRDefault="00AF409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576232" w:rsidRDefault="00AF409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576232" w:rsidRDefault="00AF40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576232" w:rsidRDefault="00AF409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rPr>
      </w:pPr>
      <w:r>
        <w:rPr>
          <w:rFonts w:ascii="Times New Roman" w:eastAsia="方正小标宋简体" w:hAnsi="Times New Roman" w:cs="方正小标宋简体" w:hint="eastAsia"/>
          <w:kern w:val="0"/>
          <w:sz w:val="30"/>
          <w:szCs w:val="30"/>
          <w:lang/>
        </w:rPr>
        <w:t>第四部分名词解释</w:t>
      </w:r>
    </w:p>
    <w:p w:rsidR="00576232" w:rsidRDefault="00AF4090">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576232" w:rsidRDefault="00AF409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576232" w:rsidRDefault="00AF409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天津市滨海新区太平镇社区卫生服务中心是一家财政补助事业单位，注册资本为</w:t>
      </w:r>
      <w:r>
        <w:rPr>
          <w:rFonts w:ascii="Times New Roman" w:eastAsia="仿宋_GB2312" w:hAnsi="Times New Roman" w:cs="仿宋_GB2312" w:hint="eastAsia"/>
          <w:sz w:val="30"/>
          <w:szCs w:val="30"/>
        </w:rPr>
        <w:t>6,280,000</w:t>
      </w:r>
      <w:r>
        <w:rPr>
          <w:rFonts w:ascii="Times New Roman" w:eastAsia="仿宋_GB2312" w:hAnsi="Times New Roman" w:cs="仿宋_GB2312" w:hint="eastAsia"/>
          <w:sz w:val="30"/>
          <w:szCs w:val="30"/>
        </w:rPr>
        <w:t>元。科室设置有内科、外科、中医科、功能科、放射科、检验科、药剂科、儿保科、妇保科、预防保健科、业务部、办公室、财务科等科室。</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我中心认真贯彻落实滨海新区卫健委的各项要求，在辖区范围内认真开展卫健委布置的各项公共卫生及医疗服务工作，全面开展慢性病管理、居民健康档案、计划免疫、妇儿保等公共卫生服务项目，承担疾病预防等公共卫生服务和一般常见病、多发病的疾病医疗服务，负责社区预防、保健医疗、健康教育、计划生育等工作。</w:t>
      </w:r>
    </w:p>
    <w:p w:rsidR="00576232" w:rsidRDefault="00AF409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天津市滨海新区太平镇社区卫生服务中心内设</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个内科、外科、中医科、功能科、放射科、检验科、药剂科、儿保科、妇保科、预防保健科、业务部、办公室、财务科；下辖</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个预算单位。纳入天津市滨海新区太平镇社区卫生服务中心</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023</w:t>
      </w:r>
      <w:r>
        <w:rPr>
          <w:rFonts w:ascii="Times New Roman" w:eastAsia="仿宋_GB2312" w:hAnsi="Times New Roman" w:cs="仿宋_GB2312" w:hint="eastAsia"/>
          <w:sz w:val="30"/>
          <w:szCs w:val="30"/>
        </w:rPr>
        <w:t>年度部门决算编制范围的单位包括：</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天津市滨海新区太平镇社区卫生服务中心本级</w:t>
      </w:r>
    </w:p>
    <w:p w:rsidR="00576232" w:rsidRDefault="00AF4090">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576232" w:rsidRDefault="00AF409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576232" w:rsidRDefault="00576232">
      <w:pPr>
        <w:autoSpaceDE w:val="0"/>
        <w:autoSpaceDN w:val="0"/>
        <w:adjustRightInd w:val="0"/>
        <w:spacing w:line="600" w:lineRule="exact"/>
        <w:jc w:val="left"/>
        <w:rPr>
          <w:rFonts w:ascii="Times New Roman" w:eastAsia="方正小标宋简体" w:hAnsi="Times New Roman" w:cs="Times New Roman"/>
          <w:kern w:val="0"/>
          <w:sz w:val="24"/>
          <w:szCs w:val="24"/>
        </w:rPr>
      </w:pPr>
    </w:p>
    <w:p w:rsidR="00576232" w:rsidRDefault="00AF40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576232" w:rsidRDefault="00AF40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576232" w:rsidRDefault="00AF40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576232" w:rsidRDefault="00AF40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576232" w:rsidRDefault="00AF40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576232" w:rsidRDefault="00AF40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576232" w:rsidRDefault="00AF40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576232" w:rsidRDefault="00AF40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576232" w:rsidRDefault="00AF40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576232" w:rsidRDefault="00AF40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576232" w:rsidRDefault="00AF40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576232" w:rsidRDefault="00AF4090">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576232" w:rsidRDefault="00AF4090">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576232" w:rsidRDefault="00AF409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天津市滨海新区太平镇社区卫生服务中心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br/>
      </w:r>
      <w:r w:rsidR="001C3BE5">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天津市滨海新区太平镇社区卫生服务中心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t xml:space="preserve"> </w:t>
      </w:r>
    </w:p>
    <w:p w:rsidR="00576232" w:rsidRDefault="00AF409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天津市滨海新区太平镇社区卫生服务中心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576232" w:rsidRDefault="00576232">
      <w:pPr>
        <w:autoSpaceDE w:val="0"/>
        <w:autoSpaceDN w:val="0"/>
        <w:adjustRightInd w:val="0"/>
        <w:spacing w:line="600" w:lineRule="exact"/>
        <w:ind w:firstLine="601"/>
        <w:jc w:val="left"/>
        <w:rPr>
          <w:rFonts w:ascii="Times New Roman" w:eastAsia="仿宋_GB2312" w:hAnsi="Times New Roman" w:cs="仿宋_GB2312"/>
          <w:sz w:val="30"/>
          <w:szCs w:val="30"/>
        </w:rPr>
      </w:pPr>
    </w:p>
    <w:p w:rsidR="00576232" w:rsidRDefault="00AF409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576232" w:rsidRDefault="00576232">
      <w:pPr>
        <w:autoSpaceDE w:val="0"/>
        <w:autoSpaceDN w:val="0"/>
        <w:adjustRightInd w:val="0"/>
        <w:spacing w:line="580" w:lineRule="exact"/>
        <w:ind w:firstLine="600"/>
        <w:jc w:val="left"/>
        <w:rPr>
          <w:rFonts w:ascii="Times New Roman" w:eastAsia="黑体" w:hAnsi="Times New Roman" w:cs="黑体"/>
          <w:sz w:val="30"/>
          <w:szCs w:val="30"/>
          <w:lang w:val="zh-CN"/>
        </w:rPr>
      </w:pP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576232" w:rsidRDefault="00AF409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天津市滨海新区太平镇社区卫生服务中心</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33,574,796.54</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5,842,465.94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21.07%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：本年医疗业务增加，医疗收入增加。</w:t>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576232" w:rsidRDefault="00AF409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天津市滨海新区太平镇社区卫生服务中心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29,474,282.62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1,741,952.02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本年医疗业务增加，医疗收入增加。</w:t>
      </w:r>
    </w:p>
    <w:p w:rsidR="00576232" w:rsidRDefault="00AF4090">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19,715,868.65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66.89</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576232" w:rsidRDefault="00AF4090">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9,751,237.63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33.08%</w:t>
      </w:r>
      <w:r>
        <w:rPr>
          <w:rFonts w:ascii="Times New Roman" w:eastAsia="仿宋_GB2312" w:hAnsi="Times New Roman" w:cs="仿宋_GB2312" w:hint="eastAsia"/>
          <w:sz w:val="30"/>
          <w:szCs w:val="30"/>
          <w:lang w:val="zh-CN"/>
        </w:rPr>
        <w:t>；</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7,176.34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0.02%</w:t>
      </w:r>
      <w:r>
        <w:rPr>
          <w:rFonts w:ascii="Times New Roman" w:eastAsia="仿宋_GB2312" w:hAnsi="Times New Roman" w:cs="仿宋_GB2312" w:hint="eastAsia"/>
          <w:sz w:val="30"/>
          <w:szCs w:val="30"/>
          <w:lang w:val="zh-CN"/>
        </w:rPr>
        <w:t>。</w:t>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576232" w:rsidRDefault="00AF4090">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天津市滨海新区太平镇社区卫生服务中心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29,640,015.61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2,617,308.92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人员变动及工资调整，导致基本支出增加。</w:t>
      </w:r>
    </w:p>
    <w:p w:rsidR="00576232" w:rsidRDefault="00AF409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23,109,252.31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77.97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rsidR="00576232" w:rsidRDefault="00AF409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6,530,763.30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22.03%</w:t>
      </w:r>
      <w:r>
        <w:rPr>
          <w:rFonts w:ascii="Times New Roman" w:eastAsia="仿宋_GB2312" w:hAnsi="Times New Roman" w:cs="仿宋_GB2312" w:hint="eastAsia"/>
          <w:sz w:val="30"/>
          <w:szCs w:val="30"/>
        </w:rPr>
        <w:t>；</w:t>
      </w:r>
    </w:p>
    <w:p w:rsidR="00576232" w:rsidRDefault="00AF409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576232" w:rsidRDefault="00AF409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576232" w:rsidRDefault="00AF4090">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576232" w:rsidRDefault="00AF4090">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天津市滨海新区太平镇社区卫生服务中心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19,715,868.65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1,138,566.61</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6.13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本年度收到的村卫生室基本药物制度拨款较上年增加。</w:t>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五、一般公共预算财政拨款支出决算情况说明</w:t>
      </w:r>
    </w:p>
    <w:p w:rsidR="00576232" w:rsidRDefault="00AF409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576232" w:rsidRDefault="00AF409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天津市滨海新区太平镇社区卫生服务中心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19,715,868.65</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66.52%</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1,138,566.61</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6.13%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：本年度收到的村卫生室基本药物制度拨款较上年增加。</w:t>
      </w:r>
    </w:p>
    <w:p w:rsidR="00576232" w:rsidRDefault="00AF409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576232" w:rsidRDefault="00AF409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19,715,868.65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048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580.3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30.68%</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667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288.35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69.32%</w:t>
      </w:r>
      <w:r>
        <w:rPr>
          <w:rFonts w:ascii="Times New Roman" w:eastAsia="仿宋_GB2312" w:hAnsi="Times New Roman" w:cs="仿宋_GB2312" w:hint="eastAsia"/>
          <w:sz w:val="30"/>
          <w:szCs w:val="30"/>
        </w:rPr>
        <w:t>。</w:t>
      </w:r>
    </w:p>
    <w:p w:rsidR="00576232" w:rsidRDefault="00AF409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576232" w:rsidRDefault="00AF40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15,176,500.00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19,715,868.65</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129.91%</w:t>
      </w:r>
      <w:r>
        <w:rPr>
          <w:rFonts w:ascii="Times New Roman" w:eastAsia="仿宋_GB2312" w:hAnsi="Times New Roman" w:cs="仿宋_GB2312" w:hint="eastAsia"/>
          <w:kern w:val="0"/>
          <w:sz w:val="30"/>
          <w:szCs w:val="30"/>
        </w:rPr>
        <w:t>。其中：</w:t>
      </w:r>
    </w:p>
    <w:p w:rsidR="00576232" w:rsidRDefault="00AF4090">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卫生健康支出（类）基层医疗卫生机构（款）乡镇卫生院（项）年初预算为</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626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500</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782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870</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6.2%</w:t>
      </w:r>
      <w:r>
        <w:rPr>
          <w:rFonts w:ascii="Times New Roman" w:eastAsia="仿宋_GB2312" w:hAnsi="Times New Roman" w:cs="仿宋_GB2312" w:hint="eastAsia"/>
          <w:sz w:val="30"/>
          <w:szCs w:val="30"/>
        </w:rPr>
        <w:t>，决算数小于年初预算数的主要原</w:t>
      </w:r>
      <w:bookmarkStart w:id="0" w:name="_GoBack"/>
      <w:bookmarkEnd w:id="0"/>
      <w:r>
        <w:rPr>
          <w:rFonts w:ascii="Times New Roman" w:eastAsia="仿宋_GB2312" w:hAnsi="Times New Roman" w:cs="仿宋_GB2312" w:hint="eastAsia"/>
          <w:sz w:val="30"/>
          <w:szCs w:val="30"/>
        </w:rPr>
        <w:t>因是该支出调剂至事业运行支出。</w:t>
      </w:r>
      <w:r>
        <w:rPr>
          <w:rFonts w:ascii="Times New Roman" w:eastAsia="仿宋_GB2312" w:hAnsi="Times New Roman" w:cs="仿宋_GB2312" w:hint="eastAsia"/>
          <w:sz w:val="30"/>
          <w:szCs w:val="30"/>
        </w:rPr>
        <w:br/>
      </w:r>
      <w:r w:rsidR="001C3BE5">
        <w:rPr>
          <w:rFonts w:ascii="Times New Roman" w:eastAsia="仿宋_GB2312" w:hAnsi="Times New Roman" w:cs="仿宋_GB2312" w:hint="eastAsia"/>
          <w:sz w:val="30"/>
          <w:szCs w:val="30"/>
        </w:rPr>
        <w:t xml:space="preserve">    2.</w:t>
      </w:r>
      <w:r>
        <w:rPr>
          <w:rFonts w:ascii="Times New Roman" w:eastAsia="仿宋_GB2312" w:hAnsi="Times New Roman" w:cs="仿宋_GB2312" w:hint="eastAsia"/>
          <w:sz w:val="30"/>
          <w:szCs w:val="30"/>
        </w:rPr>
        <w:t>卫生健康支出（类）公共卫生（款）基本公共卫生服务（项）年初预算为</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550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146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989.7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202%</w:t>
      </w:r>
      <w:r>
        <w:rPr>
          <w:rFonts w:ascii="Times New Roman" w:eastAsia="仿宋_GB2312" w:hAnsi="Times New Roman" w:cs="仿宋_GB2312" w:hint="eastAsia"/>
          <w:sz w:val="30"/>
          <w:szCs w:val="30"/>
        </w:rPr>
        <w:t>，决算数大于年初预算数的主要原因</w:t>
      </w:r>
      <w:r>
        <w:rPr>
          <w:rFonts w:ascii="Times New Roman" w:eastAsia="仿宋_GB2312" w:hAnsi="Times New Roman" w:cs="仿宋_GB2312" w:hint="eastAsia"/>
          <w:sz w:val="30"/>
          <w:szCs w:val="30"/>
        </w:rPr>
        <w:t>年度预算执行中追</w:t>
      </w:r>
      <w:r>
        <w:rPr>
          <w:rFonts w:ascii="Times New Roman" w:eastAsia="仿宋_GB2312" w:hAnsi="Times New Roman" w:cs="仿宋_GB2312" w:hint="eastAsia"/>
          <w:sz w:val="30"/>
          <w:szCs w:val="30"/>
        </w:rPr>
        <w:lastRenderedPageBreak/>
        <w:t>加经费用于基本公共卫生服务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sidR="001C3BE5">
        <w:rPr>
          <w:rFonts w:ascii="Times New Roman" w:eastAsia="仿宋_GB2312" w:hAnsi="Times New Roman" w:cs="仿宋_GB2312" w:hint="eastAsia"/>
          <w:sz w:val="30"/>
          <w:szCs w:val="30"/>
        </w:rPr>
        <w:t xml:space="preserve">    3.</w:t>
      </w:r>
      <w:r>
        <w:rPr>
          <w:rFonts w:ascii="Times New Roman" w:eastAsia="仿宋_GB2312" w:hAnsi="Times New Roman" w:cs="仿宋_GB2312" w:hint="eastAsia"/>
          <w:sz w:val="30"/>
          <w:szCs w:val="30"/>
        </w:rPr>
        <w:t>卫生健康支出（类）公共卫生（款）重大公共卫生服务（项）年初预算为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192</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192</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w:t>
      </w:r>
      <w:r>
        <w:rPr>
          <w:rFonts w:ascii="Times New Roman" w:eastAsia="仿宋_GB2312" w:hAnsi="Times New Roman" w:cs="仿宋_GB2312" w:hint="eastAsia"/>
          <w:sz w:val="30"/>
          <w:szCs w:val="30"/>
        </w:rPr>
        <w:t>原因是年度预算执行中追加的重大公共卫生服务项目经费，用于艾滋病防治、结核病防治等重大公共卫生服务工作。</w:t>
      </w:r>
      <w:r>
        <w:rPr>
          <w:rFonts w:ascii="Times New Roman" w:eastAsia="仿宋_GB2312" w:hAnsi="Times New Roman" w:cs="仿宋_GB2312" w:hint="eastAsia"/>
          <w:sz w:val="30"/>
          <w:szCs w:val="30"/>
        </w:rPr>
        <w:br/>
      </w:r>
      <w:r w:rsidR="001C3BE5">
        <w:rPr>
          <w:rFonts w:ascii="Times New Roman" w:eastAsia="仿宋_GB2312" w:hAnsi="Times New Roman" w:cs="仿宋_GB2312" w:hint="eastAsia"/>
          <w:sz w:val="30"/>
          <w:szCs w:val="30"/>
        </w:rPr>
        <w:t xml:space="preserve">    4.</w:t>
      </w:r>
      <w:r>
        <w:rPr>
          <w:rFonts w:ascii="Times New Roman" w:eastAsia="仿宋_GB2312" w:hAnsi="Times New Roman" w:cs="仿宋_GB2312" w:hint="eastAsia"/>
          <w:sz w:val="30"/>
          <w:szCs w:val="30"/>
        </w:rPr>
        <w:t>卫生健康支出（类）公共卫生（款）突发公共卫生事件应急处理（项）年初预算为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93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600</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600</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，决算数等于追加预算数的主要原因是年度预算执行中追加区卫生系统过渡期临时性工作补助。</w:t>
      </w:r>
      <w:r>
        <w:rPr>
          <w:rFonts w:ascii="Times New Roman" w:eastAsia="仿宋_GB2312" w:hAnsi="Times New Roman" w:cs="仿宋_GB2312" w:hint="eastAsia"/>
          <w:sz w:val="30"/>
          <w:szCs w:val="30"/>
        </w:rPr>
        <w:br/>
      </w:r>
      <w:r w:rsidR="001C3BE5">
        <w:rPr>
          <w:rFonts w:ascii="Times New Roman" w:eastAsia="仿宋_GB2312" w:hAnsi="Times New Roman" w:cs="仿宋_GB2312" w:hint="eastAsia"/>
          <w:sz w:val="30"/>
          <w:szCs w:val="30"/>
        </w:rPr>
        <w:t xml:space="preserve">    5.</w:t>
      </w:r>
      <w:r>
        <w:rPr>
          <w:rFonts w:ascii="Times New Roman" w:eastAsia="仿宋_GB2312" w:hAnsi="Times New Roman" w:cs="仿宋_GB2312" w:hint="eastAsia"/>
          <w:sz w:val="30"/>
          <w:szCs w:val="30"/>
        </w:rPr>
        <w:t>卫生健康支出（类）公共卫生（款）其他公共卫生支出（项）年初预算为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071</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071</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元，完成追加预算</w:t>
      </w:r>
      <w:r>
        <w:rPr>
          <w:rFonts w:ascii="Times New Roman" w:eastAsia="仿宋_GB2312" w:hAnsi="Times New Roman" w:cs="仿宋_GB2312" w:hint="eastAsia"/>
          <w:sz w:val="30"/>
          <w:szCs w:val="30"/>
        </w:rPr>
        <w:t>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，决算数等于追加预算数的主要原因是年度预算执行中追加预算用于新生儿七项筛查等其他公共卫生支出。</w:t>
      </w:r>
      <w:r>
        <w:rPr>
          <w:rFonts w:ascii="Times New Roman" w:eastAsia="仿宋_GB2312" w:hAnsi="Times New Roman" w:cs="仿宋_GB2312" w:hint="eastAsia"/>
          <w:sz w:val="30"/>
          <w:szCs w:val="30"/>
        </w:rPr>
        <w:br/>
      </w:r>
      <w:r w:rsidR="001C3BE5">
        <w:rPr>
          <w:rFonts w:ascii="Times New Roman" w:eastAsia="仿宋_GB2312" w:hAnsi="Times New Roman" w:cs="仿宋_GB2312" w:hint="eastAsia"/>
          <w:sz w:val="30"/>
          <w:szCs w:val="30"/>
        </w:rPr>
        <w:t xml:space="preserve">    6.</w:t>
      </w:r>
      <w:r>
        <w:rPr>
          <w:rFonts w:ascii="Times New Roman" w:eastAsia="仿宋_GB2312" w:hAnsi="Times New Roman" w:cs="仿宋_GB2312" w:hint="eastAsia"/>
          <w:sz w:val="30"/>
          <w:szCs w:val="30"/>
        </w:rPr>
        <w:t>卫生健康支出（类）计划生育事务（款）</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计划生育服务（项）年初预算为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857.6</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857.6</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，决算数等于追加预算数的主要原因是年度预算执行中追加预算用于</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年失独人员免费体检等其他公共卫生支出。</w:t>
      </w:r>
      <w:r>
        <w:rPr>
          <w:rFonts w:ascii="Times New Roman" w:eastAsia="仿宋_GB2312" w:hAnsi="Times New Roman" w:cs="仿宋_GB2312" w:hint="eastAsia"/>
          <w:sz w:val="30"/>
          <w:szCs w:val="30"/>
        </w:rPr>
        <w:br/>
      </w:r>
      <w:r w:rsidR="001C3BE5">
        <w:rPr>
          <w:rFonts w:ascii="Times New Roman" w:eastAsia="仿宋_GB2312" w:hAnsi="Times New Roman" w:cs="仿宋_GB2312" w:hint="eastAsia"/>
          <w:sz w:val="30"/>
          <w:szCs w:val="30"/>
        </w:rPr>
        <w:t xml:space="preserve">    7.</w:t>
      </w:r>
      <w:r>
        <w:rPr>
          <w:rFonts w:ascii="Times New Roman" w:eastAsia="仿宋_GB2312" w:hAnsi="Times New Roman" w:cs="仿宋_GB2312" w:hint="eastAsia"/>
          <w:sz w:val="30"/>
          <w:szCs w:val="30"/>
        </w:rPr>
        <w:t>农林水支出（类）农业农村（款）事业运行（项）年初预算为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667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288.35</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667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288.35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lastRenderedPageBreak/>
        <w:t>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，决算数等于追加预算数的主要原因是基层卫生机构部分基本支出调剂至此科目。</w:t>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576232" w:rsidRDefault="00AF4090">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天津市滨海新区太平镇社区卫生服务中心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13,667,288.35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1,006,794.16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本年度人员工资结构调整。</w:t>
      </w:r>
      <w:r>
        <w:rPr>
          <w:rFonts w:ascii="Times New Roman" w:eastAsia="仿宋_GB2312" w:hAnsi="Times New Roman" w:cs="仿宋_GB2312" w:hint="eastAsia"/>
          <w:kern w:val="0"/>
          <w:sz w:val="30"/>
          <w:szCs w:val="30"/>
        </w:rPr>
        <w:t>其中：</w:t>
      </w:r>
    </w:p>
    <w:p w:rsidR="00576232" w:rsidRDefault="00AF409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13,325,615.85</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基本工资、津贴补贴、绩效工资、机关事业单位基本养老保险缴费、职业年金缴费、职工基本医疗保险缴费、其他社会保障缴费、住房公积金、其他工资福利支出、离休费、退休费、奖励金。</w:t>
      </w:r>
    </w:p>
    <w:p w:rsidR="00576232" w:rsidRDefault="00AF409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341,672.50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办公费、印刷费、咨询费、手续费、水费、电费、邮电费、取暖费、差旅费、维修（护）费、培训费、专用材料费、劳务费、工会经费福利费、其他交通费用、其他商品和服务支出。</w:t>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576232" w:rsidRDefault="00AF4090">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天津市滨海新区太平镇社区卫生服务中心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天津市滨海新区太平镇社区卫生服务中心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576232" w:rsidRDefault="00AF409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576232" w:rsidRDefault="00AF409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本年度未用财政拨款经费列支”三公“经费。</w:t>
      </w:r>
    </w:p>
    <w:p w:rsidR="00576232" w:rsidRDefault="00AF409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576232" w:rsidRDefault="00AF40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576232" w:rsidRDefault="00AF409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576232" w:rsidRDefault="00AF409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其中：</w:t>
      </w:r>
    </w:p>
    <w:p w:rsidR="00576232" w:rsidRDefault="00AF40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本年度未用财政拨款经费列公务用车运行维护费。</w:t>
      </w:r>
    </w:p>
    <w:p w:rsidR="00576232" w:rsidRDefault="00AF409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576232" w:rsidRDefault="00AF40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576232" w:rsidRDefault="00AF40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576232" w:rsidRDefault="00AF409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576232" w:rsidRDefault="00AF409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576232" w:rsidRDefault="00AF409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天津市滨海新区太平镇社区卫生服务中心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576232" w:rsidRDefault="00AF409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天津市滨海新区太平镇社区卫生服务中心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55,584</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55,584</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55,584</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仿宋_GB2312" w:hint="eastAsia"/>
          <w:color w:val="000000"/>
          <w:kern w:val="0"/>
          <w:sz w:val="30"/>
          <w:szCs w:val="30"/>
        </w:rPr>
        <w:t>10</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，其中：授予小微</w:t>
      </w:r>
      <w:r>
        <w:rPr>
          <w:rFonts w:ascii="Times New Roman" w:eastAsia="仿宋_GB2312" w:hAnsi="Times New Roman" w:cs="仿宋_GB2312" w:hint="eastAsia"/>
          <w:color w:val="000000"/>
          <w:kern w:val="0"/>
          <w:sz w:val="30"/>
          <w:szCs w:val="30"/>
        </w:rPr>
        <w:lastRenderedPageBreak/>
        <w:t>企业合同金额</w:t>
      </w:r>
      <w:r>
        <w:rPr>
          <w:rFonts w:ascii="Times New Roman" w:eastAsia="仿宋_GB2312" w:hAnsi="Times New Roman" w:cs="Times New Roman" w:hint="eastAsia"/>
          <w:kern w:val="0"/>
          <w:sz w:val="30"/>
          <w:szCs w:val="30"/>
        </w:rPr>
        <w:t>55,584</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仿宋_GB2312" w:hint="eastAsia"/>
          <w:color w:val="000000"/>
          <w:kern w:val="0"/>
          <w:sz w:val="30"/>
          <w:szCs w:val="30"/>
        </w:rPr>
        <w:t>10</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576232" w:rsidRDefault="00AF409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天津市滨海新区太平镇社区卫生服务中心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576232" w:rsidRDefault="00AF40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576232" w:rsidRDefault="00AF40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w:t>
      </w:r>
      <w:r>
        <w:rPr>
          <w:rFonts w:ascii="Times New Roman" w:eastAsia="仿宋_GB2312" w:hAnsi="Times New Roman" w:cs="仿宋_GB2312" w:hint="eastAsia"/>
          <w:sz w:val="30"/>
          <w:szCs w:val="30"/>
        </w:rPr>
        <w:t>天津市滨海新区太平镇社区卫生服务中心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21</w:t>
      </w:r>
      <w:r>
        <w:rPr>
          <w:rFonts w:ascii="Times New Roman" w:eastAsia="仿宋_GB2312" w:hAnsi="Times New Roman" w:cs="仿宋_GB2312" w:hint="eastAsia"/>
          <w:sz w:val="30"/>
          <w:szCs w:val="30"/>
        </w:rPr>
        <w:t>个项目开展部门评价，涉及金额</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048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580.3</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自评结果已随部门决算一并公开。</w:t>
      </w:r>
    </w:p>
    <w:p w:rsidR="00576232" w:rsidRDefault="00AF4090">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576232" w:rsidRDefault="00AF40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天津市滨海新区太平镇社区卫生服务中心不属于乡、镇、街级单位，不涉及公开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576232" w:rsidRDefault="00AF409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576232" w:rsidRDefault="00AF409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576232" w:rsidRDefault="00576232">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576232" w:rsidRDefault="00AF40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576232" w:rsidRDefault="00AF40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76232" w:rsidRDefault="00AF4090">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576232" w:rsidSect="0057623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090" w:rsidRDefault="00AF4090" w:rsidP="001C3BE5">
      <w:r>
        <w:separator/>
      </w:r>
    </w:p>
  </w:endnote>
  <w:endnote w:type="continuationSeparator" w:id="1">
    <w:p w:rsidR="00AF4090" w:rsidRDefault="00AF4090" w:rsidP="001C3BE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6A671406-7734-4F11-B94A-6BF7ADD86A23}"/>
  </w:font>
  <w:font w:name="黑体">
    <w:altName w:val="SimHei"/>
    <w:panose1 w:val="02010609060101010101"/>
    <w:charset w:val="86"/>
    <w:family w:val="modern"/>
    <w:pitch w:val="fixed"/>
    <w:sig w:usb0="800002BF" w:usb1="38CF7CFA" w:usb2="00000016" w:usb3="00000000" w:csb0="00040001" w:csb1="00000000"/>
    <w:embedRegular r:id="rId2" w:subsetted="1" w:fontKey="{CDAE8684-7FEB-4A22-AEEE-00F53CB1D125}"/>
    <w:embedBold r:id="rId3" w:subsetted="1" w:fontKey="{911B8042-B842-4609-9C76-6FECE4278219}"/>
  </w:font>
  <w:font w:name="仿宋_GB2312">
    <w:panose1 w:val="02010609030101010101"/>
    <w:charset w:val="86"/>
    <w:family w:val="modern"/>
    <w:pitch w:val="fixed"/>
    <w:sig w:usb0="00000001" w:usb1="080E0000" w:usb2="00000010" w:usb3="00000000" w:csb0="00040000" w:csb1="00000000"/>
    <w:embedRegular r:id="rId4" w:subsetted="1" w:fontKey="{3E6B755C-75BE-49AB-A863-B12CEDDD3B3A}"/>
  </w:font>
  <w:font w:name="楷体">
    <w:panose1 w:val="02010609060101010101"/>
    <w:charset w:val="86"/>
    <w:family w:val="modern"/>
    <w:pitch w:val="fixed"/>
    <w:sig w:usb0="800002BF" w:usb1="38CF7CFA" w:usb2="00000016" w:usb3="00000000" w:csb0="00040001" w:csb1="00000000"/>
    <w:embedRegular r:id="rId5" w:subsetted="1" w:fontKey="{420DEAC7-17AF-4177-ACE9-F36F2A9A5B1A}"/>
    <w:embedBold r:id="rId6" w:subsetted="1" w:fontKey="{DB35D49B-7D03-496A-815C-F696253CFB79}"/>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embedRegular r:id="rId7" w:subsetted="1" w:fontKey="{834E13F3-EB9F-49CF-8B58-F0CD98674A0C}"/>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090" w:rsidRDefault="00AF4090" w:rsidP="001C3BE5">
      <w:r>
        <w:separator/>
      </w:r>
    </w:p>
  </w:footnote>
  <w:footnote w:type="continuationSeparator" w:id="1">
    <w:p w:rsidR="00AF4090" w:rsidRDefault="00AF4090" w:rsidP="001C3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ZhZDU5YzZlZDdkMzQwMjEzNTlmOWEzYjUzMWJlYz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C3BE5"/>
    <w:rsid w:val="001D587E"/>
    <w:rsid w:val="002124F6"/>
    <w:rsid w:val="00264B59"/>
    <w:rsid w:val="002A4997"/>
    <w:rsid w:val="002E6086"/>
    <w:rsid w:val="00302490"/>
    <w:rsid w:val="00307A95"/>
    <w:rsid w:val="003227B2"/>
    <w:rsid w:val="003536BE"/>
    <w:rsid w:val="003B25FB"/>
    <w:rsid w:val="004A482F"/>
    <w:rsid w:val="004F39BF"/>
    <w:rsid w:val="005062D7"/>
    <w:rsid w:val="005175E6"/>
    <w:rsid w:val="00525157"/>
    <w:rsid w:val="005349A2"/>
    <w:rsid w:val="00575537"/>
    <w:rsid w:val="00576232"/>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4090"/>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6046C1"/>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C46763"/>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637D5C"/>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23522EA"/>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5F68AD"/>
    <w:rsid w:val="5CD612EB"/>
    <w:rsid w:val="5D032E6E"/>
    <w:rsid w:val="5D9E5388"/>
    <w:rsid w:val="5DC66F7C"/>
    <w:rsid w:val="5DFB2606"/>
    <w:rsid w:val="5E015742"/>
    <w:rsid w:val="5EB1144C"/>
    <w:rsid w:val="5EF37781"/>
    <w:rsid w:val="5F6D7131"/>
    <w:rsid w:val="5F7856C5"/>
    <w:rsid w:val="5FF67529"/>
    <w:rsid w:val="615900E7"/>
    <w:rsid w:val="61D75AE1"/>
    <w:rsid w:val="620B43D3"/>
    <w:rsid w:val="624C1682"/>
    <w:rsid w:val="62B72874"/>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76232"/>
    <w:pPr>
      <w:widowControl w:val="0"/>
      <w:jc w:val="both"/>
    </w:pPr>
    <w:rPr>
      <w:kern w:val="2"/>
      <w:sz w:val="21"/>
      <w:szCs w:val="22"/>
    </w:rPr>
  </w:style>
  <w:style w:type="paragraph" w:styleId="1">
    <w:name w:val="heading 1"/>
    <w:basedOn w:val="a"/>
    <w:next w:val="a"/>
    <w:link w:val="1Char"/>
    <w:autoRedefine/>
    <w:uiPriority w:val="99"/>
    <w:qFormat/>
    <w:rsid w:val="00576232"/>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576232"/>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576232"/>
    <w:pPr>
      <w:jc w:val="left"/>
    </w:pPr>
  </w:style>
  <w:style w:type="paragraph" w:styleId="a4">
    <w:name w:val="footer"/>
    <w:basedOn w:val="a"/>
    <w:link w:val="Char"/>
    <w:autoRedefine/>
    <w:uiPriority w:val="99"/>
    <w:unhideWhenUsed/>
    <w:qFormat/>
    <w:rsid w:val="00576232"/>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576232"/>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sid w:val="00576232"/>
    <w:rPr>
      <w:rFonts w:ascii="方正小标宋简体" w:eastAsia="方正小标宋简体"/>
      <w:kern w:val="0"/>
      <w:sz w:val="24"/>
      <w:szCs w:val="24"/>
    </w:rPr>
  </w:style>
  <w:style w:type="character" w:customStyle="1" w:styleId="2Char">
    <w:name w:val="标题 2 Char"/>
    <w:basedOn w:val="a0"/>
    <w:link w:val="2"/>
    <w:autoRedefine/>
    <w:uiPriority w:val="99"/>
    <w:qFormat/>
    <w:rsid w:val="00576232"/>
    <w:rPr>
      <w:rFonts w:ascii="方正小标宋简体" w:eastAsia="方正小标宋简体"/>
      <w:kern w:val="0"/>
      <w:sz w:val="24"/>
      <w:szCs w:val="24"/>
    </w:rPr>
  </w:style>
  <w:style w:type="character" w:customStyle="1" w:styleId="Char0">
    <w:name w:val="页眉 Char"/>
    <w:basedOn w:val="a0"/>
    <w:link w:val="a5"/>
    <w:autoRedefine/>
    <w:uiPriority w:val="99"/>
    <w:qFormat/>
    <w:rsid w:val="00576232"/>
    <w:rPr>
      <w:sz w:val="18"/>
      <w:szCs w:val="18"/>
    </w:rPr>
  </w:style>
  <w:style w:type="character" w:customStyle="1" w:styleId="Char">
    <w:name w:val="页脚 Char"/>
    <w:basedOn w:val="a0"/>
    <w:link w:val="a4"/>
    <w:autoRedefine/>
    <w:uiPriority w:val="99"/>
    <w:qFormat/>
    <w:rsid w:val="0057623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874</Words>
  <Characters>4982</Characters>
  <Application>Microsoft Office Word</Application>
  <DocSecurity>0</DocSecurity>
  <Lines>41</Lines>
  <Paragraphs>11</Paragraphs>
  <ScaleCrop>false</ScaleCrop>
  <Company>Microsoft</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孙璟珂</cp:lastModifiedBy>
  <cp:revision>61</cp:revision>
  <dcterms:created xsi:type="dcterms:W3CDTF">2023-08-11T08:11:00Z</dcterms:created>
  <dcterms:modified xsi:type="dcterms:W3CDTF">2024-09-24T08:23:00Z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B562A45731A747809D11E06339B06CEE_13</vt:lpwstr>
  </property>
</Properties>
</file>