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天津市滨海新区塘沽安定医院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塘沽安定医院是滨海新区唯一一家二级精神病专科医院，属于公立非营利性医疗机构，承担着滨海新区及周边地区精神疾病患者预防、诊疗、康复和社会救助的工作任务。单位地址：天津市滨海新区塘沽海兴路149号。</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天津市滨海新区塘沽安定医院内设8个职能科室；下辖</w:t>
      </w:r>
      <w:r>
        <w:rPr>
          <w:rFonts w:hint="eastAsia" w:ascii="Times New Roman" w:hAnsi="Times New Roman" w:eastAsia="仿宋_GB2312" w:cs="仿宋_GB2312"/>
          <w:sz w:val="30"/>
          <w:szCs w:val="30"/>
          <w:lang w:val="en-US" w:eastAsia="zh-CN"/>
        </w:rPr>
        <w:t>0</w:t>
      </w:r>
      <w:r>
        <w:rPr>
          <w:rFonts w:hint="eastAsia" w:ascii="Times New Roman" w:hAnsi="Times New Roman" w:eastAsia="仿宋_GB2312" w:cs="仿宋_GB2312"/>
          <w:sz w:val="30"/>
          <w:szCs w:val="30"/>
        </w:rPr>
        <w:t>个预算单位。纳入天津市滨海新区塘沽安定医院2023年度部门决算编制范围的单位包括：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天津市滨海新区塘沽安定医院。</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1.天津市滨海新区塘沽安定医院2023年度政府性基金预算财政拨款收入支出决算表为空表。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2.天津市滨海新区塘沽安定医院2023年度国有资本经营预算财政拨款收入支出决算表为空表。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3.天津市滨海新区塘沽安定医院2023年度财政拨款“三公”经费支出决算表为空表。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天津市滨海新区塘沽安定医院2023年度收入、支出决算总计</w:t>
      </w:r>
      <w:r>
        <w:rPr>
          <w:rFonts w:hint="eastAsia" w:ascii="Times New Roman" w:hAnsi="Times New Roman" w:eastAsia="仿宋_GB2312" w:cs="仿宋_GB2312"/>
          <w:sz w:val="30"/>
          <w:szCs w:val="30"/>
        </w:rPr>
        <w:t>45,501,015.85元，与2022年度相比，收、支总计各增加7,408,138.46元，增长19.45%，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：门诊人次增加，收入相应增加，人员费用支出和重大公共卫生项目支出的增加。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天津市滨海新区塘沽安定医院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38,109,531.46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年度相比增加16,654.07元，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：门诊人次增加，收入相应增加。</w:t>
      </w:r>
    </w:p>
    <w:p>
      <w:pPr>
        <w:autoSpaceDE w:val="0"/>
        <w:autoSpaceDN w:val="0"/>
        <w:adjustRightInd w:val="0"/>
        <w:spacing w:line="600" w:lineRule="exact"/>
        <w:ind w:firstLine="600"/>
        <w:jc w:val="both"/>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18,270,262.00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47.94</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both"/>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both"/>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both"/>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both"/>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19,809,647.00元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51.98%；</w:t>
      </w:r>
    </w:p>
    <w:p>
      <w:pPr>
        <w:autoSpaceDE w:val="0"/>
        <w:autoSpaceDN w:val="0"/>
        <w:adjustRightInd w:val="0"/>
        <w:spacing w:line="600" w:lineRule="exact"/>
        <w:ind w:firstLine="600"/>
        <w:jc w:val="both"/>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both"/>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both"/>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both"/>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29,622.46元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天津市滨海新区塘沽安定医院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年度本年支出合计41,334,805.57元，与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年度相比增加3,321,757.32元，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人员费用支出和重大公共卫生项目支出的增加。</w:t>
      </w:r>
    </w:p>
    <w:p>
      <w:pPr>
        <w:autoSpaceDE w:val="0"/>
        <w:autoSpaceDN w:val="0"/>
        <w:adjustRightInd w:val="0"/>
        <w:spacing w:line="58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40,208,205.57元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占97.27%；</w:t>
      </w:r>
    </w:p>
    <w:p>
      <w:pPr>
        <w:autoSpaceDE w:val="0"/>
        <w:autoSpaceDN w:val="0"/>
        <w:adjustRightInd w:val="0"/>
        <w:spacing w:line="580" w:lineRule="exact"/>
        <w:ind w:firstLine="600"/>
        <w:jc w:val="both"/>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1,126,600.00元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占2.73%；</w:t>
      </w:r>
    </w:p>
    <w:p>
      <w:pPr>
        <w:autoSpaceDE w:val="0"/>
        <w:autoSpaceDN w:val="0"/>
        <w:adjustRightInd w:val="0"/>
        <w:spacing w:line="580" w:lineRule="exact"/>
        <w:ind w:firstLine="600"/>
        <w:jc w:val="both"/>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both"/>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both"/>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天津市滨海新区塘沽安定医院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18,270,262.00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年度相比，财政拨款收、支总计各增加694,671.37元，增长3.95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本年度增加重大公共卫生项目经费。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天津市滨海新区塘沽安定医院2023年度部门决算一般公共预算财政拨款支出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计18,270,262.00元，占本年支出合计的44.2%，与2022年度相比，一般公共预算财政拨款支出增加694,671.37元，增长3.95%，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：本年度增加重大公共卫生项目经费。</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18,270,262.00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卫生健康支出18270262元，占100.00%。</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17,116,644.00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18,270,262.00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106.74%</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卫生健康支出（类）公立医院（款）综合医院（项）年初预算为0元，追加决算为20000元，支出决算为20000.00元，完成追加预算的100%，决算数大于年初预算数的主要原因是年度预算执行中追加专项资金经费，用于人员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卫生健康支出（类）公立医院（款）精神病医院（项）年初预算为17116644.00元，支出决算为17143662.00元，完成年初预算的100.16%，决算数大于年初预算数的主要原因是年度预算执行中追加的精神病医院经费，用于抚恤金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卫生健康支出（类）公共卫生（款）基本公共卫生服务（项）年初预算为0元，追加预算为103120.00元，支出决算为103120.00元，完成追加预算的100%，决算数大于年初预算数的主要原因是年度预算执行中追加基本公共卫生服务项目经费，用于医院基本公共卫生服务相关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公共卫生（款）重大公共卫生服务（项）年初预算为0元，追加预算为941580.00元，支出决算为941580.00元，完成追加预算的100%，决算数大于年初预算数的主要原因是年度预算执行中追加重大公共卫生服务项目经费，用于精神疾病防治和慢性病防治的重大公共卫生服务的相关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公共卫生（款）突发公共卫生事件应急处理（项）年初预算为0元，追加预算为61900.00元，支出决算为61900.00元，完成追加预算的100%，决算数大于年初预算数的主要原因是年度预算执行中追加的突发公共卫生事件应急处理项目经费，用于区卫生系统过渡期临时性工作补助。</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天津市滨海新区塘沽安定医院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17,143,662.00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年度相比增加78,487.37元，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2023年增加抚恤金支出。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15,917,162.00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基本工资、津贴补贴、绩效工资、机关事业单位基本养老保险缴费、住房公积金、其他工资福利支出、离休费、退休费、抚恤金、其他对个人和家庭的补助。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1,226,500.00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物业费。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天津市滨海新区塘沽安定医院2023年度无政府性基金预算财政拨款收入、支出和结转结余。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天津市滨海新区塘沽安定医院2023年度无国有资本经营预算财政拨款收入、支出和结转结余。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本年度未用财政拨款经费列支公务用车购置费及运行维护费。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bookmarkStart w:id="0" w:name="_GoBack"/>
    </w:p>
    <w:bookmarkEnd w:id="0"/>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天津市滨海新区塘沽安定医院2023年度无机关运行经费。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both"/>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天津市滨海新区塘沽安定医院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3,989,503.28</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77,750.00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3,911,753.28</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3,989,503.28</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3,989,503.28</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天津市滨海新区塘沽安定医院2023年度无国有资产占有使用情况。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根据预算绩效管理要求，天津市滨海新区塘沽安定医院2023年度已对11个项目开展绩效自评，涉及金额1126600元，自评结果已随部门决算一并公开。</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天津市滨海新区塘沽安定医院不属于乡、镇、街级单位，不涉及公开2023年度教育、医疗卫生、社会保障和就业、住房保障、涉农补贴等民生支出情况。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yYTYxNzQwYTk1MDM4YTdjNWU4MGNkZGU0MzE1ZTMifQ=="/>
  </w:docVars>
  <w:rsids>
    <w:rsidRoot w:val="006A094D"/>
    <w:rsid w:val="00013A12"/>
    <w:rsid w:val="0002687D"/>
    <w:rsid w:val="00047B12"/>
    <w:rsid w:val="00047C6F"/>
    <w:rsid w:val="000528EE"/>
    <w:rsid w:val="000719FD"/>
    <w:rsid w:val="000B5C71"/>
    <w:rsid w:val="000D4B98"/>
    <w:rsid w:val="0012310E"/>
    <w:rsid w:val="00127EFA"/>
    <w:rsid w:val="00142888"/>
    <w:rsid w:val="00152EEB"/>
    <w:rsid w:val="00153077"/>
    <w:rsid w:val="00156E6B"/>
    <w:rsid w:val="00167CB7"/>
    <w:rsid w:val="001A0E4F"/>
    <w:rsid w:val="001B5C3C"/>
    <w:rsid w:val="001C0399"/>
    <w:rsid w:val="001D587E"/>
    <w:rsid w:val="002124F6"/>
    <w:rsid w:val="00264B59"/>
    <w:rsid w:val="002A4997"/>
    <w:rsid w:val="002E6086"/>
    <w:rsid w:val="00302490"/>
    <w:rsid w:val="00314AD4"/>
    <w:rsid w:val="003227B2"/>
    <w:rsid w:val="003536BE"/>
    <w:rsid w:val="003B25FB"/>
    <w:rsid w:val="00444DA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64D3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91D0D"/>
    <w:rsid w:val="00BC763A"/>
    <w:rsid w:val="00BC7D6F"/>
    <w:rsid w:val="00BD3CAC"/>
    <w:rsid w:val="00BF0B93"/>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8AE27D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4357</Words>
  <Characters>5053</Characters>
  <Lines>37</Lines>
  <Paragraphs>10</Paragraphs>
  <TotalTime>12</TotalTime>
  <ScaleCrop>false</ScaleCrop>
  <LinksUpToDate>false</LinksUpToDate>
  <CharactersWithSpaces>5086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2024-09-20T04:50:00Z</dcterms:created>
  <dc:creator>office</dc:creator>
  <cp:lastModifiedBy>Administrator</cp:lastModifiedBy>
  <dcterms:modified xsi:type="dcterms:W3CDTF">2024-09-24T09:20:04Z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A44E0A178634409BBBA50D5636087390_13</vt:lpwstr>
  </property>
</Properties>
</file>