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896FF">
      <w:pPr>
        <w:autoSpaceDE w:val="0"/>
        <w:autoSpaceDN w:val="0"/>
        <w:adjustRightInd w:val="0"/>
        <w:jc w:val="center"/>
        <w:rPr>
          <w:rFonts w:ascii="Times New Roman" w:hAnsi="Times New Roman" w:eastAsia="方正小标宋简体" w:cs="方正小标宋简体"/>
          <w:kern w:val="0"/>
          <w:sz w:val="48"/>
          <w:szCs w:val="48"/>
          <w:lang w:val="zh-CN"/>
        </w:rPr>
      </w:pPr>
    </w:p>
    <w:p w14:paraId="787D0000">
      <w:pPr>
        <w:autoSpaceDE w:val="0"/>
        <w:autoSpaceDN w:val="0"/>
        <w:adjustRightInd w:val="0"/>
        <w:jc w:val="center"/>
        <w:rPr>
          <w:rFonts w:ascii="Times New Roman" w:hAnsi="Times New Roman" w:eastAsia="方正小标宋简体" w:cs="方正小标宋简体"/>
          <w:kern w:val="0"/>
          <w:sz w:val="48"/>
          <w:szCs w:val="48"/>
          <w:lang w:val="zh-CN"/>
        </w:rPr>
      </w:pPr>
    </w:p>
    <w:p w14:paraId="7C69FA11">
      <w:pPr>
        <w:autoSpaceDE w:val="0"/>
        <w:autoSpaceDN w:val="0"/>
        <w:adjustRightInd w:val="0"/>
        <w:jc w:val="center"/>
        <w:rPr>
          <w:rFonts w:ascii="Times New Roman" w:hAnsi="Times New Roman" w:eastAsia="方正小标宋简体" w:cs="方正小标宋简体"/>
          <w:kern w:val="0"/>
          <w:sz w:val="48"/>
          <w:szCs w:val="48"/>
          <w:lang w:val="zh-CN"/>
        </w:rPr>
      </w:pPr>
    </w:p>
    <w:p w14:paraId="6630BE27">
      <w:pPr>
        <w:autoSpaceDE w:val="0"/>
        <w:autoSpaceDN w:val="0"/>
        <w:adjustRightInd w:val="0"/>
        <w:jc w:val="center"/>
        <w:rPr>
          <w:rFonts w:ascii="Times New Roman" w:hAnsi="Times New Roman" w:eastAsia="方正小标宋简体" w:cs="方正小标宋简体"/>
          <w:kern w:val="0"/>
          <w:sz w:val="48"/>
          <w:szCs w:val="48"/>
          <w:lang w:val="zh-CN"/>
        </w:rPr>
      </w:pPr>
    </w:p>
    <w:p w14:paraId="2920E553">
      <w:pPr>
        <w:autoSpaceDE w:val="0"/>
        <w:autoSpaceDN w:val="0"/>
        <w:adjustRightInd w:val="0"/>
        <w:jc w:val="center"/>
        <w:rPr>
          <w:rFonts w:ascii="Times New Roman" w:hAnsi="Times New Roman" w:eastAsia="方正小标宋简体" w:cs="方正小标宋简体"/>
          <w:kern w:val="0"/>
          <w:sz w:val="48"/>
          <w:szCs w:val="48"/>
          <w:lang w:val="zh-CN"/>
        </w:rPr>
      </w:pPr>
    </w:p>
    <w:p w14:paraId="3DED6584">
      <w:pPr>
        <w:autoSpaceDE w:val="0"/>
        <w:autoSpaceDN w:val="0"/>
        <w:adjustRightInd w:val="0"/>
        <w:jc w:val="center"/>
        <w:rPr>
          <w:rFonts w:ascii="Times New Roman" w:hAnsi="Times New Roman" w:eastAsia="方正小标宋简体" w:cs="方正小标宋简体"/>
          <w:kern w:val="0"/>
          <w:sz w:val="48"/>
          <w:szCs w:val="48"/>
          <w:lang w:val="zh-CN"/>
        </w:rPr>
      </w:pPr>
    </w:p>
    <w:p w14:paraId="28A82A3D">
      <w:pPr>
        <w:autoSpaceDE w:val="0"/>
        <w:autoSpaceDN w:val="0"/>
        <w:adjustRightInd w:val="0"/>
        <w:jc w:val="center"/>
        <w:rPr>
          <w:rFonts w:ascii="Times New Roman" w:hAnsi="Times New Roman" w:eastAsia="方正小标宋简体" w:cs="方正小标宋简体"/>
          <w:kern w:val="0"/>
          <w:sz w:val="48"/>
          <w:szCs w:val="48"/>
          <w:lang w:val="zh-CN"/>
        </w:rPr>
      </w:pPr>
    </w:p>
    <w:p w14:paraId="7997A35C">
      <w:pPr>
        <w:autoSpaceDE w:val="0"/>
        <w:autoSpaceDN w:val="0"/>
        <w:adjustRightInd w:val="0"/>
        <w:jc w:val="center"/>
        <w:rPr>
          <w:rFonts w:ascii="Times New Roman" w:hAnsi="Times New Roman" w:eastAsia="方正小标宋简体" w:cs="方正小标宋简体"/>
          <w:kern w:val="0"/>
          <w:sz w:val="48"/>
          <w:szCs w:val="48"/>
          <w:lang w:val="zh-CN"/>
        </w:rPr>
      </w:pPr>
    </w:p>
    <w:p w14:paraId="7E74267F">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天津市滨海新区北塘街社区卫生服务中心2023年度部门决算</w:t>
      </w:r>
    </w:p>
    <w:p w14:paraId="3BF8CC3E">
      <w:pPr>
        <w:autoSpaceDE w:val="0"/>
        <w:autoSpaceDN w:val="0"/>
        <w:adjustRightInd w:val="0"/>
        <w:spacing w:line="580" w:lineRule="exact"/>
        <w:jc w:val="center"/>
        <w:rPr>
          <w:rFonts w:ascii="Times New Roman" w:hAnsi="Times New Roman" w:eastAsia="黑体" w:cs="黑体"/>
          <w:sz w:val="30"/>
          <w:szCs w:val="30"/>
        </w:rPr>
      </w:pPr>
    </w:p>
    <w:p w14:paraId="32972A62">
      <w:pPr>
        <w:autoSpaceDE w:val="0"/>
        <w:autoSpaceDN w:val="0"/>
        <w:adjustRightInd w:val="0"/>
        <w:spacing w:line="580" w:lineRule="exact"/>
        <w:jc w:val="center"/>
        <w:rPr>
          <w:rFonts w:ascii="Times New Roman" w:hAnsi="Times New Roman" w:eastAsia="黑体" w:cs="黑体"/>
          <w:sz w:val="30"/>
          <w:szCs w:val="30"/>
        </w:rPr>
      </w:pPr>
    </w:p>
    <w:p w14:paraId="3267099D">
      <w:pPr>
        <w:autoSpaceDE w:val="0"/>
        <w:autoSpaceDN w:val="0"/>
        <w:adjustRightInd w:val="0"/>
        <w:spacing w:line="580" w:lineRule="exact"/>
        <w:jc w:val="center"/>
        <w:rPr>
          <w:rFonts w:ascii="Times New Roman" w:hAnsi="Times New Roman" w:eastAsia="黑体" w:cs="黑体"/>
          <w:sz w:val="30"/>
          <w:szCs w:val="30"/>
        </w:rPr>
      </w:pPr>
    </w:p>
    <w:p w14:paraId="70F15892">
      <w:pPr>
        <w:autoSpaceDE w:val="0"/>
        <w:autoSpaceDN w:val="0"/>
        <w:adjustRightInd w:val="0"/>
        <w:spacing w:line="580" w:lineRule="exact"/>
        <w:jc w:val="center"/>
        <w:rPr>
          <w:rFonts w:ascii="Times New Roman" w:hAnsi="Times New Roman" w:eastAsia="黑体" w:cs="黑体"/>
          <w:sz w:val="30"/>
          <w:szCs w:val="30"/>
        </w:rPr>
      </w:pPr>
    </w:p>
    <w:p w14:paraId="44C1BFAB">
      <w:pPr>
        <w:autoSpaceDE w:val="0"/>
        <w:autoSpaceDN w:val="0"/>
        <w:adjustRightInd w:val="0"/>
        <w:spacing w:line="580" w:lineRule="exact"/>
        <w:jc w:val="center"/>
        <w:rPr>
          <w:rFonts w:ascii="Times New Roman" w:hAnsi="Times New Roman" w:eastAsia="黑体" w:cs="黑体"/>
          <w:sz w:val="30"/>
          <w:szCs w:val="30"/>
        </w:rPr>
      </w:pPr>
    </w:p>
    <w:p w14:paraId="7FBD4D21">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kern w:val="0"/>
          <w:sz w:val="44"/>
          <w:szCs w:val="44"/>
        </w:rPr>
        <w:br w:type="page"/>
      </w:r>
      <w:r>
        <w:rPr>
          <w:rFonts w:hint="eastAsia" w:ascii="Times New Roman" w:hAnsi="Times New Roman" w:eastAsia="黑体" w:cs="黑体"/>
          <w:kern w:val="0"/>
          <w:sz w:val="44"/>
          <w:szCs w:val="44"/>
        </w:rPr>
        <w:t>目录</w:t>
      </w:r>
    </w:p>
    <w:p w14:paraId="76EC6574">
      <w:pPr>
        <w:autoSpaceDE w:val="0"/>
        <w:autoSpaceDN w:val="0"/>
        <w:adjustRightInd w:val="0"/>
        <w:spacing w:line="600" w:lineRule="exact"/>
        <w:jc w:val="left"/>
        <w:rPr>
          <w:rFonts w:ascii="Times New Roman" w:hAnsi="Times New Roman" w:eastAsia="黑体" w:cs="黑体"/>
          <w:kern w:val="0"/>
          <w:sz w:val="30"/>
          <w:szCs w:val="30"/>
        </w:rPr>
      </w:pPr>
    </w:p>
    <w:p w14:paraId="25C84BDB">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第一部分概况</w:t>
      </w:r>
    </w:p>
    <w:p w14:paraId="2C32752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5C460B0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5696425C">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第二部分2023年度部门决算表</w:t>
      </w:r>
    </w:p>
    <w:p w14:paraId="58DAEDD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334C543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540C328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2A05FFF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2A5ED4F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64DA1A6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3B9D010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37A602C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652F168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731AC3F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3CA85B3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0B713FF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61B1F8D3">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第三部分2023年度部门决算情况说明</w:t>
      </w:r>
    </w:p>
    <w:p w14:paraId="37F435A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08BD92F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3618557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0AD8278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1F829B2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1E429F7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46F1CB5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4AECF9B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56BAB53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0EA6046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06C35DC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10C2240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60E20A5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43E22E1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0013DF37">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第四部分名词解释</w:t>
      </w:r>
    </w:p>
    <w:p w14:paraId="4E44C084">
      <w:pPr>
        <w:autoSpaceDE w:val="0"/>
        <w:autoSpaceDN w:val="0"/>
        <w:adjustRightInd w:val="0"/>
        <w:spacing w:line="700" w:lineRule="exact"/>
        <w:jc w:val="left"/>
        <w:rPr>
          <w:rFonts w:ascii="Times New Roman" w:hAnsi="Times New Roman" w:eastAsia="黑体" w:cs="黑体"/>
          <w:kern w:val="0"/>
          <w:sz w:val="44"/>
          <w:szCs w:val="44"/>
        </w:rPr>
      </w:pPr>
      <w:r>
        <w:rPr>
          <w:rFonts w:ascii="Times New Roman" w:hAnsi="Times New Roman" w:eastAsia="黑体" w:cs="黑体"/>
          <w:sz w:val="30"/>
          <w:szCs w:val="30"/>
          <w:lang w:val="zh-CN"/>
        </w:rPr>
        <w:br w:type="page"/>
      </w:r>
    </w:p>
    <w:p w14:paraId="78A2380C">
      <w:pPr>
        <w:autoSpaceDE w:val="0"/>
        <w:autoSpaceDN w:val="0"/>
        <w:adjustRightInd w:val="0"/>
        <w:spacing w:line="700" w:lineRule="exact"/>
        <w:jc w:val="left"/>
        <w:rPr>
          <w:rFonts w:ascii="Times New Roman" w:hAnsi="Times New Roman" w:eastAsia="黑体" w:cs="黑体"/>
          <w:sz w:val="30"/>
          <w:szCs w:val="30"/>
          <w:lang w:val="zh-CN"/>
        </w:rPr>
        <w:sectPr>
          <w:footerReference r:id="rId3" w:type="default"/>
          <w:pgSz w:w="12240" w:h="15840"/>
          <w:pgMar w:top="1440" w:right="1800" w:bottom="1440" w:left="1800" w:header="720" w:footer="720" w:gutter="0"/>
          <w:cols w:space="720" w:num="1"/>
          <w:docGrid w:type="lines" w:linePitch="312" w:charSpace="0"/>
        </w:sectPr>
      </w:pPr>
    </w:p>
    <w:p w14:paraId="18AA0C93">
      <w:pPr>
        <w:autoSpaceDE w:val="0"/>
        <w:autoSpaceDN w:val="0"/>
        <w:adjustRightInd w:val="0"/>
        <w:spacing w:line="700" w:lineRule="exact"/>
        <w:jc w:val="left"/>
        <w:rPr>
          <w:rFonts w:ascii="Times New Roman" w:hAnsi="Times New Roman" w:eastAsia="黑体" w:cs="黑体"/>
          <w:sz w:val="30"/>
          <w:szCs w:val="30"/>
          <w:lang w:val="zh-CN"/>
        </w:rPr>
      </w:pPr>
    </w:p>
    <w:p w14:paraId="45BACC9A">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744E8E8A">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4DAC7BC9">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为辖区居民提供常见病、多发病的诊疗服务。开展肝、胆、胰、脾、肾、泌尿系统、子宫附件、血管等超声检查，血、尿、便常规，肝、肾功能、血脂、血糖及血液流变学、C14呼气试验等化验检查。每年为辖区内60岁以上老年人开展免费查体，妇女常见病的免费筛查，高血压、糖尿病、严重精神障碍患者、肢残等人群的健康管理，孕产妇管理，儿童保健管理，预防接种，健康查体等基本公共卫生服务。</w:t>
      </w:r>
    </w:p>
    <w:p w14:paraId="59F5E317">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696BB110">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天津市滨海新区北塘街社区卫生服务中心内设13个职能处室；下辖0个预算单位。纳入天津市滨海新区北塘街社区卫生服务中心2023年度部门决算编制范围的单位包括：</w:t>
      </w:r>
    </w:p>
    <w:p w14:paraId="516B1E7E">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天津市滨海新区北塘街社区卫生服务中心。</w:t>
      </w:r>
    </w:p>
    <w:p w14:paraId="5F6E8DC2">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0C1BFFA1">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7CFD4890">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6FEB71D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67C561A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347E95A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3E7CD12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01C5F4C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7D358E1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4F6449E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55F2391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0BF263F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594FBF0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7CA9893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07D92EE5">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14:paraId="3C7C7A74">
      <w:pPr>
        <w:autoSpaceDE w:val="0"/>
        <w:autoSpaceDN w:val="0"/>
        <w:adjustRightInd w:val="0"/>
        <w:spacing w:line="600" w:lineRule="exact"/>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5589287E">
      <w:pPr>
        <w:autoSpaceDE w:val="0"/>
        <w:autoSpaceDN w:val="0"/>
        <w:adjustRightInd w:val="0"/>
        <w:spacing w:line="600" w:lineRule="exact"/>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1.天津市滨海新区北塘街社区卫生服务中心2023年度政府性基金预算财政拨款预算收入支出决算表为空表。</w:t>
      </w:r>
    </w:p>
    <w:p w14:paraId="58FC5C8F">
      <w:pPr>
        <w:autoSpaceDE w:val="0"/>
        <w:autoSpaceDN w:val="0"/>
        <w:adjustRightInd w:val="0"/>
        <w:spacing w:line="600" w:lineRule="exact"/>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2.天津市滨海新区北塘街社区卫生服务中心2023年国有资本经营预算财政拨款收入支出决算表为空表。</w:t>
      </w:r>
    </w:p>
    <w:p w14:paraId="6C670874">
      <w:pPr>
        <w:autoSpaceDE w:val="0"/>
        <w:autoSpaceDN w:val="0"/>
        <w:adjustRightInd w:val="0"/>
        <w:spacing w:line="600" w:lineRule="exact"/>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3.天津市滨海新区北塘街社区卫生服务中心2023年度一般公共预算财政拨款“三公”经费支出决算表为空表。</w:t>
      </w:r>
    </w:p>
    <w:p w14:paraId="58082513">
      <w:pPr>
        <w:widowControl/>
        <w:jc w:val="left"/>
        <w:rPr>
          <w:rFonts w:ascii="Times New Roman" w:hAnsi="Times New Roman" w:eastAsia="仿宋_GB2312" w:cs="仿宋_GB2312"/>
          <w:sz w:val="30"/>
          <w:szCs w:val="30"/>
        </w:rPr>
      </w:pPr>
      <w:r>
        <w:rPr>
          <w:rFonts w:ascii="Times New Roman" w:hAnsi="Times New Roman" w:eastAsia="仿宋_GB2312" w:cs="仿宋_GB2312"/>
          <w:sz w:val="30"/>
          <w:szCs w:val="30"/>
        </w:rPr>
        <w:br w:type="page"/>
      </w:r>
    </w:p>
    <w:p w14:paraId="51C9FC89">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3E64D90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349DF958">
      <w:pPr>
        <w:autoSpaceDE w:val="0"/>
        <w:autoSpaceDN w:val="0"/>
        <w:adjustRightInd w:val="0"/>
        <w:spacing w:line="600" w:lineRule="exact"/>
        <w:ind w:firstLine="600"/>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天津市滨海新区北塘街社区卫生服务中心2023年度收入、支出决算总计</w:t>
      </w:r>
      <w:r>
        <w:rPr>
          <w:rFonts w:hint="eastAsia" w:ascii="Times New Roman" w:hAnsi="Times New Roman" w:eastAsia="仿宋_GB2312" w:cs="仿宋_GB2312"/>
          <w:sz w:val="30"/>
          <w:szCs w:val="30"/>
        </w:rPr>
        <w:t>41,628,804.22元，与2022年度相比，收、支总计各增加5,091,914.38元，增长13.94%，</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：根据全口径编报要求，将非财政拨款结余和专用结余纳入年初结转结余，从而参与年末结转结余的计算。</w:t>
      </w:r>
    </w:p>
    <w:p w14:paraId="48C3D08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43180DE2">
      <w:pPr>
        <w:autoSpaceDE w:val="0"/>
        <w:autoSpaceDN w:val="0"/>
        <w:adjustRightInd w:val="0"/>
        <w:spacing w:line="600" w:lineRule="exact"/>
        <w:ind w:firstLine="600"/>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天津市滨海新区北塘街社区卫生服务中心</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36,739,653.15</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年度相比增加202,763.31元，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：人员变动等因素导致一般公共预算拨款收入增加。</w:t>
      </w:r>
    </w:p>
    <w:p w14:paraId="40BDC561">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16,258,398.63</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44.25</w:t>
      </w:r>
      <w:r>
        <w:rPr>
          <w:rFonts w:hint="eastAsia" w:ascii="Times New Roman" w:hAnsi="Times New Roman" w:eastAsia="宋体" w:cs="Times New Roman"/>
          <w:sz w:val="30"/>
          <w:szCs w:val="30"/>
        </w:rPr>
        <w:t>%；</w:t>
      </w:r>
    </w:p>
    <w:p w14:paraId="7AAF262B">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20,469,198.53元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55.71%；</w:t>
      </w:r>
    </w:p>
    <w:p w14:paraId="7FACE09B">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12,055.99元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0.03%。</w:t>
      </w:r>
    </w:p>
    <w:p w14:paraId="10B927E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3275E1B5">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天津市滨海新区北塘街社区卫生服务中心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年度本年支出合计36,003,232.31元，与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年度相比减少241,889.06元，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：事业收入（门急诊收入）减少导致相应的</w:t>
      </w:r>
      <w:r>
        <w:rPr>
          <w:rFonts w:hint="eastAsia" w:ascii="Times New Roman" w:hAnsi="Times New Roman" w:eastAsia="仿宋_GB2312" w:cs="仿宋_GB2312"/>
          <w:kern w:val="0"/>
          <w:sz w:val="30"/>
          <w:szCs w:val="30"/>
        </w:rPr>
        <w:t>专用材料费等商品和服务支出减少。</w:t>
      </w:r>
    </w:p>
    <w:p w14:paraId="247DC416">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32,218,322.51元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占89.49%；</w:t>
      </w:r>
    </w:p>
    <w:p w14:paraId="4AC9E58F">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3,784,909.80元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占10.51%；</w:t>
      </w:r>
    </w:p>
    <w:p w14:paraId="1B40991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39C1F0C4">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天津市滨海新区北塘街社区卫生服务中心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16,258,398.63</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年度相比，财政拨款收、支总计各增加829,365.85元，增长5.38</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 xml:space="preserve">人员变动、工资调整等因素导致财政拨款收支增加。 </w:t>
      </w:r>
    </w:p>
    <w:p w14:paraId="4827B23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1AFC9DF3">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35A27E2C">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天津市滨海新区北塘街社区卫生服务中心2023年度部门决算一般公共预算财政拨款支出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计16,258,398.63元，占本年支出合计的45.16%，与2022年度相比，一般公共预算财政拨款支出增加829,365.85元，增长5.38%，</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：人员变动、工资调整等因素导致财政拨款收支增加。</w:t>
      </w:r>
    </w:p>
    <w:p w14:paraId="7D9A06E3">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2A5C13B1">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16,258,398.63</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卫生健康支出（类）16258398.63元，占比100%</w:t>
      </w:r>
    </w:p>
    <w:p w14:paraId="4603E0C9">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23EE5044">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12,755,200.00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16,258,398.63</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127.47%</w:t>
      </w:r>
      <w:r>
        <w:rPr>
          <w:rFonts w:hint="eastAsia" w:ascii="Times New Roman" w:hAnsi="Times New Roman" w:eastAsia="仿宋_GB2312" w:cs="仿宋_GB2312"/>
          <w:kern w:val="0"/>
          <w:sz w:val="30"/>
          <w:szCs w:val="30"/>
        </w:rPr>
        <w:t>。其中：</w:t>
      </w:r>
    </w:p>
    <w:p w14:paraId="257D4F9D">
      <w:pPr>
        <w:wordWrap w:val="0"/>
        <w:ind w:firstLine="600" w:firstLineChars="200"/>
        <w:rPr>
          <w:rFonts w:ascii="Times New Roman" w:hAnsi="Times New Roman" w:eastAsia="仿宋" w:cs="Times New Roman"/>
          <w:sz w:val="30"/>
          <w:szCs w:val="30"/>
        </w:rPr>
      </w:pPr>
      <w:r>
        <w:rPr>
          <w:rFonts w:hint="eastAsia" w:ascii="Times New Roman" w:hAnsi="Times New Roman" w:eastAsia="仿宋_GB2312" w:cs="仿宋_GB2312"/>
          <w:sz w:val="30"/>
          <w:szCs w:val="30"/>
        </w:rPr>
        <w:t>1.卫生健康支出（类）基层医疗卫生机构（款）城市社区卫生机构（项）的年初预算数为11,205,200.00元,支出决算为12,993,488.83元，完成年初预算的115.96%，决算数大于年初预算数的主要原因是因人员变动、工资调整等因素追加预算。</w:t>
      </w:r>
      <w:r>
        <w:rPr>
          <w:rFonts w:hint="eastAsia" w:ascii="Times New Roman" w:hAnsi="Times New Roman" w:eastAsia="仿宋_GB2312" w:cs="仿宋_GB2312"/>
          <w:sz w:val="30"/>
          <w:szCs w:val="30"/>
        </w:rPr>
        <w:br w:type="textWrapping"/>
      </w:r>
      <w:r>
        <w:rPr>
          <w:rFonts w:hint="eastAsia" w:ascii="Times New Roman" w:hAnsi="Times New Roman" w:eastAsia="仿宋" w:cs="Times New Roman"/>
          <w:sz w:val="30"/>
          <w:szCs w:val="30"/>
        </w:rPr>
        <w:t xml:space="preserve">    </w:t>
      </w:r>
      <w:r>
        <w:rPr>
          <w:rFonts w:ascii="Times New Roman" w:hAnsi="Times New Roman" w:eastAsia="仿宋" w:cs="Times New Roman"/>
          <w:sz w:val="30"/>
          <w:szCs w:val="30"/>
        </w:rPr>
        <w:t>2.卫生健康支出（类）公共卫生（款）突发公共卫生事件应急处理（项）的年初预算数为0.00元</w:t>
      </w:r>
      <w:r>
        <w:rPr>
          <w:rFonts w:hint="eastAsia" w:ascii="Times New Roman" w:hAnsi="Times New Roman" w:eastAsia="仿宋" w:cs="Times New Roman"/>
          <w:sz w:val="30"/>
          <w:szCs w:val="30"/>
        </w:rPr>
        <w:t>,追加预算43,500.00元，支出</w:t>
      </w:r>
      <w:r>
        <w:rPr>
          <w:rFonts w:ascii="Times New Roman" w:hAnsi="Times New Roman" w:eastAsia="仿宋" w:cs="Times New Roman"/>
          <w:sz w:val="30"/>
          <w:szCs w:val="30"/>
        </w:rPr>
        <w:t>决算为43,500.00元</w:t>
      </w:r>
      <w:r>
        <w:rPr>
          <w:rFonts w:hint="eastAsia" w:ascii="Times New Roman" w:hAnsi="Times New Roman" w:eastAsia="仿宋" w:cs="Times New Roman"/>
          <w:sz w:val="30"/>
          <w:szCs w:val="30"/>
        </w:rPr>
        <w:t>，</w:t>
      </w:r>
      <w:r>
        <w:rPr>
          <w:rFonts w:ascii="Times New Roman" w:hAnsi="Times New Roman" w:eastAsia="仿宋" w:cs="Times New Roman"/>
          <w:sz w:val="30"/>
          <w:szCs w:val="30"/>
        </w:rPr>
        <w:t>完成</w:t>
      </w:r>
      <w:r>
        <w:rPr>
          <w:rFonts w:hint="eastAsia" w:ascii="Times New Roman" w:hAnsi="Times New Roman" w:eastAsia="仿宋" w:cs="Times New Roman"/>
          <w:sz w:val="30"/>
          <w:szCs w:val="30"/>
        </w:rPr>
        <w:t>追加</w:t>
      </w:r>
      <w:r>
        <w:rPr>
          <w:rFonts w:ascii="Times New Roman" w:hAnsi="Times New Roman" w:eastAsia="仿宋" w:cs="Times New Roman"/>
          <w:sz w:val="30"/>
          <w:szCs w:val="30"/>
        </w:rPr>
        <w:t>预算的</w:t>
      </w:r>
      <w:r>
        <w:rPr>
          <w:rFonts w:hint="eastAsia" w:ascii="Times New Roman" w:hAnsi="Times New Roman" w:eastAsia="仿宋" w:cs="Times New Roman"/>
          <w:sz w:val="30"/>
          <w:szCs w:val="30"/>
        </w:rPr>
        <w:t>100</w:t>
      </w:r>
      <w:r>
        <w:rPr>
          <w:rFonts w:ascii="Times New Roman" w:hAnsi="Times New Roman" w:eastAsia="仿宋" w:cs="Times New Roman"/>
          <w:sz w:val="30"/>
          <w:szCs w:val="30"/>
        </w:rPr>
        <w:t>.00%，决算数</w:t>
      </w:r>
      <w:r>
        <w:rPr>
          <w:rFonts w:hint="eastAsia" w:ascii="Times New Roman" w:hAnsi="Times New Roman" w:eastAsia="仿宋" w:cs="Times New Roman"/>
          <w:sz w:val="30"/>
          <w:szCs w:val="30"/>
        </w:rPr>
        <w:t>等于追加</w:t>
      </w:r>
      <w:r>
        <w:rPr>
          <w:rFonts w:ascii="Times New Roman" w:hAnsi="Times New Roman" w:eastAsia="仿宋" w:cs="Times New Roman"/>
          <w:sz w:val="30"/>
          <w:szCs w:val="30"/>
        </w:rPr>
        <w:t>预算数的主要原因是</w:t>
      </w:r>
      <w:r>
        <w:rPr>
          <w:rFonts w:hint="eastAsia" w:ascii="Times New Roman" w:hAnsi="Times New Roman" w:eastAsia="仿宋" w:cs="Times New Roman"/>
          <w:sz w:val="30"/>
          <w:szCs w:val="30"/>
        </w:rPr>
        <w:t>追加预算用于卫生系统过渡期临时性工作补助</w:t>
      </w:r>
      <w:r>
        <w:rPr>
          <w:rFonts w:ascii="Times New Roman" w:hAnsi="Times New Roman" w:eastAsia="仿宋" w:cs="Times New Roman"/>
          <w:sz w:val="30"/>
          <w:szCs w:val="30"/>
        </w:rPr>
        <w:t>。</w:t>
      </w:r>
    </w:p>
    <w:p w14:paraId="6EECAD03">
      <w:pPr>
        <w:wordWrap w:val="0"/>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3.卫生健康支出（类）公共卫生（款）其他公共卫生支出（项）的年初预算数为0.00元</w:t>
      </w:r>
      <w:r>
        <w:rPr>
          <w:rFonts w:hint="eastAsia" w:ascii="Times New Roman" w:hAnsi="Times New Roman" w:eastAsia="仿宋" w:cs="Times New Roman"/>
          <w:sz w:val="30"/>
          <w:szCs w:val="30"/>
        </w:rPr>
        <w:t>，追加预算</w:t>
      </w:r>
      <w:r>
        <w:rPr>
          <w:rFonts w:ascii="Times New Roman" w:hAnsi="Times New Roman" w:eastAsia="仿宋" w:cs="Times New Roman"/>
          <w:sz w:val="30"/>
          <w:szCs w:val="30"/>
        </w:rPr>
        <w:t>29,038.00元</w:t>
      </w:r>
      <w:r>
        <w:rPr>
          <w:rFonts w:hint="eastAsia" w:ascii="Times New Roman" w:hAnsi="Times New Roman" w:eastAsia="仿宋" w:cs="Times New Roman"/>
          <w:sz w:val="30"/>
          <w:szCs w:val="30"/>
        </w:rPr>
        <w:t>，支出</w:t>
      </w:r>
      <w:r>
        <w:rPr>
          <w:rFonts w:ascii="Times New Roman" w:hAnsi="Times New Roman" w:eastAsia="仿宋" w:cs="Times New Roman"/>
          <w:sz w:val="30"/>
          <w:szCs w:val="30"/>
        </w:rPr>
        <w:t>决算为29,038.00元</w:t>
      </w:r>
      <w:r>
        <w:rPr>
          <w:rFonts w:hint="eastAsia" w:ascii="Times New Roman" w:hAnsi="Times New Roman" w:eastAsia="仿宋" w:cs="Times New Roman"/>
          <w:sz w:val="30"/>
          <w:szCs w:val="30"/>
        </w:rPr>
        <w:t>，</w:t>
      </w:r>
      <w:r>
        <w:rPr>
          <w:rFonts w:ascii="Times New Roman" w:hAnsi="Times New Roman" w:eastAsia="仿宋" w:cs="Times New Roman"/>
          <w:sz w:val="30"/>
          <w:szCs w:val="30"/>
        </w:rPr>
        <w:t>完成</w:t>
      </w:r>
      <w:r>
        <w:rPr>
          <w:rFonts w:hint="eastAsia" w:ascii="Times New Roman" w:hAnsi="Times New Roman" w:eastAsia="仿宋" w:cs="Times New Roman"/>
          <w:sz w:val="30"/>
          <w:szCs w:val="30"/>
        </w:rPr>
        <w:t>追加预算</w:t>
      </w:r>
      <w:r>
        <w:rPr>
          <w:rFonts w:ascii="Times New Roman" w:hAnsi="Times New Roman" w:eastAsia="仿宋" w:cs="Times New Roman"/>
          <w:sz w:val="30"/>
          <w:szCs w:val="30"/>
        </w:rPr>
        <w:t>的</w:t>
      </w:r>
      <w:r>
        <w:rPr>
          <w:rFonts w:hint="eastAsia" w:ascii="Times New Roman" w:hAnsi="Times New Roman" w:eastAsia="仿宋" w:cs="Times New Roman"/>
          <w:sz w:val="30"/>
          <w:szCs w:val="30"/>
        </w:rPr>
        <w:t>10</w:t>
      </w:r>
      <w:r>
        <w:rPr>
          <w:rFonts w:ascii="Times New Roman" w:hAnsi="Times New Roman" w:eastAsia="仿宋" w:cs="Times New Roman"/>
          <w:sz w:val="30"/>
          <w:szCs w:val="30"/>
        </w:rPr>
        <w:t>0.00%，决算数</w:t>
      </w:r>
      <w:r>
        <w:rPr>
          <w:rFonts w:hint="eastAsia" w:ascii="Times New Roman" w:hAnsi="Times New Roman" w:eastAsia="仿宋" w:cs="Times New Roman"/>
          <w:sz w:val="30"/>
          <w:szCs w:val="30"/>
        </w:rPr>
        <w:t>等于追加</w:t>
      </w:r>
      <w:r>
        <w:rPr>
          <w:rFonts w:ascii="Times New Roman" w:hAnsi="Times New Roman" w:eastAsia="仿宋" w:cs="Times New Roman"/>
          <w:sz w:val="30"/>
          <w:szCs w:val="30"/>
        </w:rPr>
        <w:t>预算数的主要原因是</w:t>
      </w:r>
      <w:r>
        <w:rPr>
          <w:rFonts w:hint="eastAsia" w:ascii="Times New Roman" w:hAnsi="Times New Roman" w:eastAsia="仿宋" w:cs="Times New Roman"/>
          <w:sz w:val="30"/>
          <w:szCs w:val="30"/>
        </w:rPr>
        <w:t>追加预算用于妇女儿童健康提升（儿童先天性疾病筛查与救助）</w:t>
      </w:r>
      <w:r>
        <w:rPr>
          <w:rFonts w:ascii="Times New Roman" w:hAnsi="Times New Roman" w:eastAsia="仿宋" w:cs="Times New Roman"/>
          <w:sz w:val="30"/>
          <w:szCs w:val="30"/>
        </w:rPr>
        <w:t>。</w:t>
      </w:r>
    </w:p>
    <w:p w14:paraId="3AFB1B5B">
      <w:pPr>
        <w:wordWrap w:val="0"/>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4.卫生健康支出（类）公共卫生（款）重大公共卫生服务（项）的年初预算数为0.00元</w:t>
      </w:r>
      <w:r>
        <w:rPr>
          <w:rFonts w:hint="eastAsia" w:ascii="Times New Roman" w:hAnsi="Times New Roman" w:eastAsia="仿宋" w:cs="Times New Roman"/>
          <w:sz w:val="30"/>
          <w:szCs w:val="30"/>
        </w:rPr>
        <w:t>，追加预算56,304.00元，支出</w:t>
      </w:r>
      <w:r>
        <w:rPr>
          <w:rFonts w:ascii="Times New Roman" w:hAnsi="Times New Roman" w:eastAsia="仿宋" w:cs="Times New Roman"/>
          <w:sz w:val="30"/>
          <w:szCs w:val="30"/>
        </w:rPr>
        <w:t>决算为56,304.00元</w:t>
      </w:r>
      <w:r>
        <w:rPr>
          <w:rFonts w:hint="eastAsia" w:ascii="Times New Roman" w:hAnsi="Times New Roman" w:eastAsia="仿宋" w:cs="Times New Roman"/>
          <w:sz w:val="30"/>
          <w:szCs w:val="30"/>
        </w:rPr>
        <w:t>，</w:t>
      </w:r>
      <w:r>
        <w:rPr>
          <w:rFonts w:ascii="Times New Roman" w:hAnsi="Times New Roman" w:eastAsia="仿宋" w:cs="Times New Roman"/>
          <w:sz w:val="30"/>
          <w:szCs w:val="30"/>
        </w:rPr>
        <w:t>完成</w:t>
      </w:r>
      <w:r>
        <w:rPr>
          <w:rFonts w:hint="eastAsia" w:ascii="Times New Roman" w:hAnsi="Times New Roman" w:eastAsia="仿宋" w:cs="Times New Roman"/>
          <w:sz w:val="30"/>
          <w:szCs w:val="30"/>
        </w:rPr>
        <w:t>追加</w:t>
      </w:r>
      <w:r>
        <w:rPr>
          <w:rFonts w:ascii="Times New Roman" w:hAnsi="Times New Roman" w:eastAsia="仿宋" w:cs="Times New Roman"/>
          <w:sz w:val="30"/>
          <w:szCs w:val="30"/>
        </w:rPr>
        <w:t>预算的</w:t>
      </w:r>
      <w:r>
        <w:rPr>
          <w:rFonts w:hint="eastAsia" w:ascii="Times New Roman" w:hAnsi="Times New Roman" w:eastAsia="仿宋" w:cs="Times New Roman"/>
          <w:sz w:val="30"/>
          <w:szCs w:val="30"/>
        </w:rPr>
        <w:t>10</w:t>
      </w:r>
      <w:r>
        <w:rPr>
          <w:rFonts w:ascii="Times New Roman" w:hAnsi="Times New Roman" w:eastAsia="仿宋" w:cs="Times New Roman"/>
          <w:sz w:val="30"/>
          <w:szCs w:val="30"/>
        </w:rPr>
        <w:t>0.00%，决算数</w:t>
      </w:r>
      <w:r>
        <w:rPr>
          <w:rFonts w:hint="eastAsia" w:ascii="Times New Roman" w:hAnsi="Times New Roman" w:eastAsia="仿宋" w:cs="Times New Roman"/>
          <w:sz w:val="30"/>
          <w:szCs w:val="30"/>
        </w:rPr>
        <w:t>等于追加</w:t>
      </w:r>
      <w:r>
        <w:rPr>
          <w:rFonts w:ascii="Times New Roman" w:hAnsi="Times New Roman" w:eastAsia="仿宋" w:cs="Times New Roman"/>
          <w:sz w:val="30"/>
          <w:szCs w:val="30"/>
        </w:rPr>
        <w:t>预算数的主要原因是</w:t>
      </w:r>
      <w:r>
        <w:rPr>
          <w:rFonts w:hint="eastAsia" w:ascii="Times New Roman" w:hAnsi="Times New Roman" w:eastAsia="仿宋" w:cs="Times New Roman"/>
          <w:sz w:val="30"/>
          <w:szCs w:val="30"/>
        </w:rPr>
        <w:t>追加预算用于妇幼卫生监测、重大传染病防控-艾滋病防治（妇幼）、重大传染病防控-艾滋病防治、重大传染病防控-精神卫生、重大传染病防控-慢性病防治等</w:t>
      </w:r>
      <w:r>
        <w:rPr>
          <w:rFonts w:ascii="Times New Roman" w:hAnsi="Times New Roman" w:eastAsia="仿宋" w:cs="Times New Roman"/>
          <w:sz w:val="30"/>
          <w:szCs w:val="30"/>
        </w:rPr>
        <w:t>。</w:t>
      </w:r>
    </w:p>
    <w:p w14:paraId="5652E6B0">
      <w:pPr>
        <w:wordWrap w:val="0"/>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5.卫生健康支出（类）公共卫生（款）基本公共卫生服务（项）的年初预算数为1,550,000.00元</w:t>
      </w:r>
      <w:r>
        <w:rPr>
          <w:rFonts w:hint="eastAsia" w:ascii="Times New Roman" w:hAnsi="Times New Roman" w:eastAsia="仿宋" w:cs="Times New Roman"/>
          <w:sz w:val="30"/>
          <w:szCs w:val="30"/>
        </w:rPr>
        <w:t>，支出</w:t>
      </w:r>
      <w:r>
        <w:rPr>
          <w:rFonts w:ascii="Times New Roman" w:hAnsi="Times New Roman" w:eastAsia="仿宋" w:cs="Times New Roman"/>
          <w:sz w:val="30"/>
          <w:szCs w:val="30"/>
        </w:rPr>
        <w:t>决算为3,135,123.40元</w:t>
      </w:r>
      <w:r>
        <w:rPr>
          <w:rFonts w:hint="eastAsia" w:ascii="Times New Roman" w:hAnsi="Times New Roman" w:eastAsia="仿宋" w:cs="Times New Roman"/>
          <w:sz w:val="30"/>
          <w:szCs w:val="30"/>
        </w:rPr>
        <w:t>，</w:t>
      </w:r>
      <w:r>
        <w:rPr>
          <w:rFonts w:ascii="Times New Roman" w:hAnsi="Times New Roman" w:eastAsia="仿宋" w:cs="Times New Roman"/>
          <w:sz w:val="30"/>
          <w:szCs w:val="30"/>
        </w:rPr>
        <w:t>完成年初预算的202.27%，决算数</w:t>
      </w:r>
      <w:r>
        <w:rPr>
          <w:rFonts w:hint="eastAsia" w:ascii="Times New Roman" w:hAnsi="Times New Roman" w:eastAsia="仿宋" w:cs="Times New Roman"/>
          <w:sz w:val="30"/>
          <w:szCs w:val="30"/>
        </w:rPr>
        <w:t>等于追加</w:t>
      </w:r>
      <w:r>
        <w:rPr>
          <w:rFonts w:ascii="Times New Roman" w:hAnsi="Times New Roman" w:eastAsia="仿宋" w:cs="Times New Roman"/>
          <w:sz w:val="30"/>
          <w:szCs w:val="30"/>
        </w:rPr>
        <w:t>预算数的主要原因是</w:t>
      </w:r>
      <w:r>
        <w:rPr>
          <w:rFonts w:hint="eastAsia" w:ascii="Times New Roman" w:hAnsi="Times New Roman" w:eastAsia="仿宋" w:cs="Times New Roman"/>
          <w:sz w:val="30"/>
          <w:szCs w:val="30"/>
        </w:rPr>
        <w:t>追加预算用于基本公共卫生服务项目</w:t>
      </w:r>
      <w:r>
        <w:rPr>
          <w:rFonts w:ascii="Times New Roman" w:hAnsi="Times New Roman" w:eastAsia="仿宋" w:cs="Times New Roman"/>
          <w:sz w:val="30"/>
          <w:szCs w:val="30"/>
        </w:rPr>
        <w:t>。</w:t>
      </w:r>
    </w:p>
    <w:p w14:paraId="11AD2903">
      <w:pPr>
        <w:autoSpaceDE w:val="0"/>
        <w:autoSpaceDN w:val="0"/>
        <w:adjustRightInd w:val="0"/>
        <w:spacing w:line="600" w:lineRule="exact"/>
        <w:ind w:firstLine="720"/>
        <w:jc w:val="left"/>
        <w:rPr>
          <w:rFonts w:ascii="Times New Roman" w:hAnsi="Times New Roman" w:eastAsia="仿宋" w:cs="Times New Roman"/>
          <w:sz w:val="30"/>
          <w:szCs w:val="30"/>
        </w:rPr>
      </w:pPr>
      <w:r>
        <w:rPr>
          <w:rFonts w:ascii="Times New Roman" w:hAnsi="Times New Roman" w:eastAsia="仿宋" w:cs="Times New Roman"/>
          <w:sz w:val="30"/>
          <w:szCs w:val="30"/>
        </w:rPr>
        <w:t>6.卫生健康支出（类）计划生育事务（款）计划生育服务（项）的年初预算数为0.00元</w:t>
      </w:r>
      <w:r>
        <w:rPr>
          <w:rFonts w:hint="eastAsia" w:ascii="Times New Roman" w:hAnsi="Times New Roman" w:eastAsia="仿宋" w:cs="Times New Roman"/>
          <w:sz w:val="30"/>
          <w:szCs w:val="30"/>
        </w:rPr>
        <w:t>，追加预算944.40元，支出</w:t>
      </w:r>
      <w:r>
        <w:rPr>
          <w:rFonts w:ascii="Times New Roman" w:hAnsi="Times New Roman" w:eastAsia="仿宋" w:cs="Times New Roman"/>
          <w:sz w:val="30"/>
          <w:szCs w:val="30"/>
        </w:rPr>
        <w:t>决算为944.40元</w:t>
      </w:r>
      <w:r>
        <w:rPr>
          <w:rFonts w:hint="eastAsia" w:ascii="Times New Roman" w:hAnsi="Times New Roman" w:eastAsia="仿宋" w:cs="Times New Roman"/>
          <w:sz w:val="30"/>
          <w:szCs w:val="30"/>
        </w:rPr>
        <w:t>，</w:t>
      </w:r>
      <w:r>
        <w:rPr>
          <w:rFonts w:ascii="Times New Roman" w:hAnsi="Times New Roman" w:eastAsia="仿宋" w:cs="Times New Roman"/>
          <w:sz w:val="30"/>
          <w:szCs w:val="30"/>
        </w:rPr>
        <w:t>完成</w:t>
      </w:r>
      <w:r>
        <w:rPr>
          <w:rFonts w:hint="eastAsia" w:ascii="Times New Roman" w:hAnsi="Times New Roman" w:eastAsia="仿宋" w:cs="Times New Roman"/>
          <w:sz w:val="30"/>
          <w:szCs w:val="30"/>
        </w:rPr>
        <w:t>追加</w:t>
      </w:r>
      <w:r>
        <w:rPr>
          <w:rFonts w:ascii="Times New Roman" w:hAnsi="Times New Roman" w:eastAsia="仿宋" w:cs="Times New Roman"/>
          <w:sz w:val="30"/>
          <w:szCs w:val="30"/>
        </w:rPr>
        <w:t>预算的</w:t>
      </w:r>
      <w:r>
        <w:rPr>
          <w:rFonts w:hint="eastAsia" w:ascii="Times New Roman" w:hAnsi="Times New Roman" w:eastAsia="仿宋" w:cs="Times New Roman"/>
          <w:sz w:val="30"/>
          <w:szCs w:val="30"/>
        </w:rPr>
        <w:t>10</w:t>
      </w:r>
      <w:r>
        <w:rPr>
          <w:rFonts w:ascii="Times New Roman" w:hAnsi="Times New Roman" w:eastAsia="仿宋" w:cs="Times New Roman"/>
          <w:sz w:val="30"/>
          <w:szCs w:val="30"/>
        </w:rPr>
        <w:t>0.00%，决算数</w:t>
      </w:r>
      <w:r>
        <w:rPr>
          <w:rFonts w:hint="eastAsia" w:ascii="Times New Roman" w:hAnsi="Times New Roman" w:eastAsia="仿宋" w:cs="Times New Roman"/>
          <w:sz w:val="30"/>
          <w:szCs w:val="30"/>
        </w:rPr>
        <w:t>等于追加</w:t>
      </w:r>
      <w:r>
        <w:rPr>
          <w:rFonts w:ascii="Times New Roman" w:hAnsi="Times New Roman" w:eastAsia="仿宋" w:cs="Times New Roman"/>
          <w:sz w:val="30"/>
          <w:szCs w:val="30"/>
        </w:rPr>
        <w:t>预算数的主要原因是</w:t>
      </w:r>
      <w:r>
        <w:rPr>
          <w:rFonts w:hint="eastAsia" w:ascii="Times New Roman" w:hAnsi="Times New Roman" w:eastAsia="仿宋" w:cs="Times New Roman"/>
          <w:sz w:val="30"/>
          <w:szCs w:val="30"/>
        </w:rPr>
        <w:t>追加预算用于失独人员免费体检</w:t>
      </w:r>
      <w:r>
        <w:rPr>
          <w:rFonts w:ascii="Times New Roman" w:hAnsi="Times New Roman" w:eastAsia="仿宋" w:cs="Times New Roman"/>
          <w:sz w:val="30"/>
          <w:szCs w:val="30"/>
        </w:rPr>
        <w:t>。</w:t>
      </w:r>
    </w:p>
    <w:p w14:paraId="497F7DAF">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54BEA7D4">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天津市滨海新区北塘街社区卫生服务中心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12,473,488.83</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年度相比增加1,196,903.83元，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因人员变动、工资调整等因素导致一般公共预算财政拨款基本支出增加。</w:t>
      </w:r>
    </w:p>
    <w:p w14:paraId="681B940A">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其中：人员经费</w:t>
      </w:r>
      <w:r>
        <w:rPr>
          <w:rFonts w:hint="eastAsia" w:ascii="Times New Roman" w:hAnsi="Times New Roman" w:eastAsia="仿宋_GB2312" w:cs="Times New Roman"/>
          <w:sz w:val="30"/>
          <w:szCs w:val="30"/>
        </w:rPr>
        <w:t>12,157,301.33</w:t>
      </w:r>
      <w:r>
        <w:rPr>
          <w:rFonts w:hint="eastAsia" w:ascii="Times New Roman" w:hAnsi="Times New Roman" w:eastAsia="仿宋_GB2312" w:cs="仿宋_GB2312"/>
          <w:kern w:val="0"/>
          <w:sz w:val="30"/>
          <w:szCs w:val="30"/>
        </w:rPr>
        <w:t>元，主要包括：基本工资、津贴补贴、绩效工资、机关事业单位基本养老保险缴费、职业年金缴费、职工基本医疗保险缴费、其他社会保障缴费、住房公积金、其他工资福利支出、离休费、退休费、抚恤金、生活补助、奖励金、其他对个人和家庭的补助等；</w:t>
      </w:r>
    </w:p>
    <w:p w14:paraId="427AA778">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316,187.50</w:t>
      </w:r>
      <w:r>
        <w:rPr>
          <w:rFonts w:hint="eastAsia" w:ascii="Times New Roman" w:hAnsi="Times New Roman" w:eastAsia="仿宋_GB2312" w:cs="仿宋_GB2312"/>
          <w:kern w:val="0"/>
          <w:sz w:val="30"/>
          <w:szCs w:val="30"/>
        </w:rPr>
        <w:t>元，主要包括：物业管理费、取暖费、工会经费、福利费、办公费、咨询费等。</w:t>
      </w:r>
    </w:p>
    <w:p w14:paraId="1BA92B2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71EFDE37">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天津市滨海新区北塘街社区卫生服务中心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年度无政府性基金预算财政拨款</w:t>
      </w:r>
      <w:r>
        <w:rPr>
          <w:rFonts w:hint="eastAsia" w:ascii="Times New Roman" w:hAnsi="Times New Roman" w:eastAsia="仿宋_GB2312" w:cs="仿宋_GB2312"/>
          <w:kern w:val="0"/>
          <w:sz w:val="30"/>
          <w:szCs w:val="30"/>
        </w:rPr>
        <w:t>收入、支出和结转结余。</w:t>
      </w:r>
    </w:p>
    <w:p w14:paraId="6B0C5A4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0A5E0279">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color w:val="000000"/>
          <w:kern w:val="0"/>
          <w:sz w:val="30"/>
          <w:szCs w:val="30"/>
        </w:rPr>
        <w:t>天津市滨海新区北塘街社区卫生服务中心</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kern w:val="0"/>
          <w:sz w:val="30"/>
          <w:szCs w:val="30"/>
        </w:rPr>
        <w:t>年度无国有资本经营预算财政拨款收入、支出和结转结余。</w:t>
      </w:r>
    </w:p>
    <w:p w14:paraId="4417AD2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575ECF1C">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29058C60">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本年度未用一般公共预算列支“三公”经费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本年度未用一般公共预算列支“三公” 经费。</w:t>
      </w:r>
    </w:p>
    <w:p w14:paraId="1EE77507">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1F20229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44C525A1">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7899687C">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其中：</w:t>
      </w:r>
    </w:p>
    <w:p w14:paraId="77071EC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本年度未用财政拨款经费列支公务用车运行维护费。</w:t>
      </w:r>
    </w:p>
    <w:p w14:paraId="3CC2C00B">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69C5677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3371C7D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374BEABC">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bookmarkStart w:id="0" w:name="_GoBack"/>
      <w:bookmarkEnd w:id="0"/>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1D9067EA">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788C64F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4D1CF647">
      <w:pPr>
        <w:autoSpaceDE w:val="0"/>
        <w:autoSpaceDN w:val="0"/>
        <w:adjustRightInd w:val="0"/>
        <w:spacing w:line="58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天津市滨海新区北塘街社区卫生服务中心2023年度无机关运行经费。</w:t>
      </w:r>
    </w:p>
    <w:p w14:paraId="0087399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50414849">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color w:val="000000"/>
          <w:kern w:val="0"/>
          <w:sz w:val="30"/>
          <w:szCs w:val="30"/>
        </w:rPr>
        <w:t>天津市滨海新区北塘街社区卫生服务中心</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17,827.00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17,827.00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17,827.00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100.0%</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17,827.00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100.0%</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100.0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3745DEC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63E6663F">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rPr>
      </w:pPr>
      <w:r>
        <w:rPr>
          <w:rFonts w:hint="eastAsia" w:ascii="Times New Roman" w:hAnsi="Times New Roman" w:eastAsia="仿宋_GB2312" w:cs="仿宋_GB2312"/>
          <w:color w:val="000000"/>
          <w:kern w:val="0"/>
          <w:sz w:val="30"/>
          <w:szCs w:val="30"/>
        </w:rPr>
        <w:t>天津市滨海新区北塘街社区卫生服务中心2023年度无国有资产占有使用情况。</w:t>
      </w:r>
    </w:p>
    <w:p w14:paraId="430B9B4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268AD590">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根据预算绩效管理要求，天津市滨海新区北塘街社区卫生服务中心2023年度已对16个项目开展绩效自评，涉及金额</w:t>
      </w:r>
      <w:r>
        <w:rPr>
          <w:rFonts w:ascii="Times New Roman" w:hAnsi="Times New Roman" w:eastAsia="仿宋_GB2312" w:cs="仿宋_GB2312"/>
          <w:kern w:val="0"/>
          <w:sz w:val="30"/>
          <w:szCs w:val="30"/>
        </w:rPr>
        <w:t>3784909.8</w:t>
      </w:r>
      <w:r>
        <w:rPr>
          <w:rFonts w:hint="eastAsia" w:ascii="Times New Roman" w:hAnsi="Times New Roman" w:eastAsia="仿宋_GB2312" w:cs="仿宋_GB2312"/>
          <w:kern w:val="0"/>
          <w:sz w:val="30"/>
          <w:szCs w:val="30"/>
        </w:rPr>
        <w:t>元，自评结果已随部门决算一并公开。</w:t>
      </w:r>
    </w:p>
    <w:p w14:paraId="68A6A69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5F94C31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天津市滨海新区北塘街社区卫生服务中心不属于乡、镇、街级单位，不涉及公开2023年度教育、医疗卫生、社会保障和就业、住房保障涉农补贴等民生支出情况。</w:t>
      </w:r>
    </w:p>
    <w:p w14:paraId="5A6F356A">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5D25FB0C">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61573F02">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5B61D5A8">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473D8F9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AB8D930">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C1CC401">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footerReference r:id="rId4" w:type="default"/>
      <w:pgSz w:w="12240" w:h="15840"/>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A7E6C4-3185-466E-A529-FE0DECD474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5043569-3414-44AE-AE96-CA27C94B2DB1}"/>
  </w:font>
  <w:font w:name="方正小标宋简体">
    <w:panose1 w:val="02000000000000000000"/>
    <w:charset w:val="86"/>
    <w:family w:val="script"/>
    <w:pitch w:val="default"/>
    <w:sig w:usb0="00000001" w:usb1="080E0000" w:usb2="00000000" w:usb3="00000000" w:csb0="00040000" w:csb1="00000000"/>
    <w:embedRegular r:id="rId3" w:fontKey="{687FE417-C8A9-4B56-8412-80DD4CF92F0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76C224FB-EE67-4720-8541-59354AF01463}"/>
  </w:font>
  <w:font w:name="楷体">
    <w:panose1 w:val="02010609060101010101"/>
    <w:charset w:val="86"/>
    <w:family w:val="modern"/>
    <w:pitch w:val="default"/>
    <w:sig w:usb0="800002BF" w:usb1="38CF7CFA" w:usb2="00000016" w:usb3="00000000" w:csb0="00040001" w:csb1="00000000"/>
    <w:embedRegular r:id="rId5" w:fontKey="{D86F1AFE-7C42-4FEE-AF0E-67823433C24C}"/>
  </w:font>
  <w:font w:name="仿宋">
    <w:panose1 w:val="02010609060101010101"/>
    <w:charset w:val="86"/>
    <w:family w:val="modern"/>
    <w:pitch w:val="default"/>
    <w:sig w:usb0="800002BF" w:usb1="38CF7CFA" w:usb2="00000016" w:usb3="00000000" w:csb0="00040001" w:csb1="00000000"/>
    <w:embedRegular r:id="rId6" w:fontKey="{09763C35-A3C0-45F9-A2C3-C7E11D033EDB}"/>
  </w:font>
  <w:font w:name="楷体_GB2312">
    <w:panose1 w:val="02010609030101010101"/>
    <w:charset w:val="86"/>
    <w:family w:val="modern"/>
    <w:pitch w:val="default"/>
    <w:sig w:usb0="00000001" w:usb1="080E0000" w:usb2="00000000" w:usb3="00000000" w:csb0="00040000" w:csb1="00000000"/>
    <w:embedRegular r:id="rId7" w:fontKey="{CB00A9F7-11B3-4399-9E0F-CE8864B280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2BAA">
    <w:pPr>
      <w:pStyle w:val="5"/>
      <w:jc w:val="center"/>
    </w:pPr>
  </w:p>
  <w:p w14:paraId="49CB2FD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415572"/>
      <w:docPartObj>
        <w:docPartGallery w:val="AutoText"/>
      </w:docPartObj>
    </w:sdtPr>
    <w:sdtContent>
      <w:p w14:paraId="7CDD5624">
        <w:pPr>
          <w:pStyle w:val="5"/>
          <w:jc w:val="center"/>
        </w:pPr>
        <w:r>
          <w:fldChar w:fldCharType="begin"/>
        </w:r>
        <w:r>
          <w:instrText xml:space="preserve"> PAGE   \* MERGEFORMAT </w:instrText>
        </w:r>
        <w:r>
          <w:fldChar w:fldCharType="separate"/>
        </w:r>
        <w:r>
          <w:rPr>
            <w:lang w:val="zh-CN"/>
          </w:rPr>
          <w:t>7</w:t>
        </w:r>
        <w:r>
          <w:rPr>
            <w:lang w:val="zh-CN"/>
          </w:rPr>
          <w:fldChar w:fldCharType="end"/>
        </w:r>
      </w:p>
    </w:sdtContent>
  </w:sdt>
  <w:p w14:paraId="4201AB5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wNTM5NzYwMDRjMzkwZTVkZjY2ODkwMGIxNGU0OTUifQ=="/>
  </w:docVars>
  <w:rsids>
    <w:rsidRoot w:val="006A094D"/>
    <w:rsid w:val="00013A12"/>
    <w:rsid w:val="0002687D"/>
    <w:rsid w:val="0003668D"/>
    <w:rsid w:val="00047C6F"/>
    <w:rsid w:val="000528EE"/>
    <w:rsid w:val="000719FD"/>
    <w:rsid w:val="000A2D80"/>
    <w:rsid w:val="000B5C71"/>
    <w:rsid w:val="000C6D26"/>
    <w:rsid w:val="000C766D"/>
    <w:rsid w:val="000D4B98"/>
    <w:rsid w:val="0010015C"/>
    <w:rsid w:val="00107AAB"/>
    <w:rsid w:val="00127EFA"/>
    <w:rsid w:val="00142888"/>
    <w:rsid w:val="00151E46"/>
    <w:rsid w:val="00152EEB"/>
    <w:rsid w:val="00153077"/>
    <w:rsid w:val="00163E9B"/>
    <w:rsid w:val="00167CB7"/>
    <w:rsid w:val="001A0E4F"/>
    <w:rsid w:val="001B5C3C"/>
    <w:rsid w:val="001C0399"/>
    <w:rsid w:val="001D0DE7"/>
    <w:rsid w:val="001D587E"/>
    <w:rsid w:val="002124F6"/>
    <w:rsid w:val="00264B59"/>
    <w:rsid w:val="002A4997"/>
    <w:rsid w:val="002A6EF5"/>
    <w:rsid w:val="002E6086"/>
    <w:rsid w:val="00302490"/>
    <w:rsid w:val="003227B2"/>
    <w:rsid w:val="00351EC6"/>
    <w:rsid w:val="003536BE"/>
    <w:rsid w:val="00366B77"/>
    <w:rsid w:val="00375574"/>
    <w:rsid w:val="003824B5"/>
    <w:rsid w:val="003A1A9E"/>
    <w:rsid w:val="003B25FB"/>
    <w:rsid w:val="003C3974"/>
    <w:rsid w:val="003E4840"/>
    <w:rsid w:val="003F4C13"/>
    <w:rsid w:val="004467E0"/>
    <w:rsid w:val="00467295"/>
    <w:rsid w:val="00497700"/>
    <w:rsid w:val="004A482F"/>
    <w:rsid w:val="004C31E2"/>
    <w:rsid w:val="004F39BF"/>
    <w:rsid w:val="005060F0"/>
    <w:rsid w:val="005062D7"/>
    <w:rsid w:val="005175E6"/>
    <w:rsid w:val="0052209F"/>
    <w:rsid w:val="00525157"/>
    <w:rsid w:val="005349A2"/>
    <w:rsid w:val="005622F2"/>
    <w:rsid w:val="005744CC"/>
    <w:rsid w:val="00575537"/>
    <w:rsid w:val="0058396F"/>
    <w:rsid w:val="0059215D"/>
    <w:rsid w:val="005A2BF9"/>
    <w:rsid w:val="005A6FA1"/>
    <w:rsid w:val="005D1367"/>
    <w:rsid w:val="005D3F56"/>
    <w:rsid w:val="005F604B"/>
    <w:rsid w:val="00654D17"/>
    <w:rsid w:val="006623EC"/>
    <w:rsid w:val="006801A8"/>
    <w:rsid w:val="006A094D"/>
    <w:rsid w:val="006B1359"/>
    <w:rsid w:val="006D2409"/>
    <w:rsid w:val="006E65DB"/>
    <w:rsid w:val="006E76BD"/>
    <w:rsid w:val="006F2B45"/>
    <w:rsid w:val="007001C9"/>
    <w:rsid w:val="0070129F"/>
    <w:rsid w:val="00744D59"/>
    <w:rsid w:val="00771528"/>
    <w:rsid w:val="00776FF3"/>
    <w:rsid w:val="0078156E"/>
    <w:rsid w:val="00786E74"/>
    <w:rsid w:val="007A7660"/>
    <w:rsid w:val="007D1285"/>
    <w:rsid w:val="007D5E57"/>
    <w:rsid w:val="007E49E1"/>
    <w:rsid w:val="007F2F1C"/>
    <w:rsid w:val="007F6B3D"/>
    <w:rsid w:val="007F6DA7"/>
    <w:rsid w:val="008174D5"/>
    <w:rsid w:val="0083195C"/>
    <w:rsid w:val="00844BD9"/>
    <w:rsid w:val="008827DA"/>
    <w:rsid w:val="00883F76"/>
    <w:rsid w:val="00885126"/>
    <w:rsid w:val="00891256"/>
    <w:rsid w:val="0089698B"/>
    <w:rsid w:val="008D48A9"/>
    <w:rsid w:val="00902E8B"/>
    <w:rsid w:val="00937888"/>
    <w:rsid w:val="00941A30"/>
    <w:rsid w:val="00977DCC"/>
    <w:rsid w:val="009820CF"/>
    <w:rsid w:val="00982A8B"/>
    <w:rsid w:val="009834C2"/>
    <w:rsid w:val="009A5DB5"/>
    <w:rsid w:val="009A7ED3"/>
    <w:rsid w:val="009D4F4B"/>
    <w:rsid w:val="009D74D7"/>
    <w:rsid w:val="00A032FB"/>
    <w:rsid w:val="00A57AE7"/>
    <w:rsid w:val="00A80D48"/>
    <w:rsid w:val="00AB56FE"/>
    <w:rsid w:val="00AD00AA"/>
    <w:rsid w:val="00AF71AE"/>
    <w:rsid w:val="00B23FDB"/>
    <w:rsid w:val="00B33C70"/>
    <w:rsid w:val="00B33FD8"/>
    <w:rsid w:val="00B343CF"/>
    <w:rsid w:val="00B45B63"/>
    <w:rsid w:val="00B47B9D"/>
    <w:rsid w:val="00B54676"/>
    <w:rsid w:val="00B746E6"/>
    <w:rsid w:val="00B75228"/>
    <w:rsid w:val="00B811F1"/>
    <w:rsid w:val="00B81B9F"/>
    <w:rsid w:val="00BC3A13"/>
    <w:rsid w:val="00BC763A"/>
    <w:rsid w:val="00BC7D6F"/>
    <w:rsid w:val="00BD3CAC"/>
    <w:rsid w:val="00BF697A"/>
    <w:rsid w:val="00C25203"/>
    <w:rsid w:val="00C52E77"/>
    <w:rsid w:val="00C65A44"/>
    <w:rsid w:val="00C76AC3"/>
    <w:rsid w:val="00C831C8"/>
    <w:rsid w:val="00C83EB4"/>
    <w:rsid w:val="00D009A2"/>
    <w:rsid w:val="00D318ED"/>
    <w:rsid w:val="00D4505A"/>
    <w:rsid w:val="00D569BD"/>
    <w:rsid w:val="00D65B41"/>
    <w:rsid w:val="00D729E0"/>
    <w:rsid w:val="00D75785"/>
    <w:rsid w:val="00D9014A"/>
    <w:rsid w:val="00DC2F77"/>
    <w:rsid w:val="00DC3234"/>
    <w:rsid w:val="00DC3CD0"/>
    <w:rsid w:val="00DD60B5"/>
    <w:rsid w:val="00DF1FED"/>
    <w:rsid w:val="00E3018A"/>
    <w:rsid w:val="00E7602B"/>
    <w:rsid w:val="00E8601A"/>
    <w:rsid w:val="00E92D36"/>
    <w:rsid w:val="00E964B2"/>
    <w:rsid w:val="00EA37F2"/>
    <w:rsid w:val="00EA6549"/>
    <w:rsid w:val="00EA7F6A"/>
    <w:rsid w:val="00EB2B88"/>
    <w:rsid w:val="00ED35D2"/>
    <w:rsid w:val="00EF0528"/>
    <w:rsid w:val="00F007FE"/>
    <w:rsid w:val="00F22FEE"/>
    <w:rsid w:val="00F2717C"/>
    <w:rsid w:val="00F75923"/>
    <w:rsid w:val="00F97F29"/>
    <w:rsid w:val="00FC2638"/>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C0F713C"/>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3"/>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toc 1"/>
    <w:basedOn w:val="1"/>
    <w:next w:val="1"/>
    <w:unhideWhenUsed/>
    <w:qFormat/>
    <w:uiPriority w:val="39"/>
    <w:pPr>
      <w:autoSpaceDE w:val="0"/>
      <w:autoSpaceDN w:val="0"/>
      <w:adjustRightInd w:val="0"/>
      <w:jc w:val="left"/>
    </w:pPr>
    <w:rPr>
      <w:rFonts w:ascii="黑体" w:hAnsi="Calibri" w:eastAsia="黑体" w:cs="Times New Roman"/>
      <w:kern w:val="0"/>
      <w:sz w:val="24"/>
      <w:szCs w:val="24"/>
    </w:rPr>
  </w:style>
  <w:style w:type="paragraph" w:styleId="8">
    <w:name w:val="toc 2"/>
    <w:basedOn w:val="1"/>
    <w:next w:val="1"/>
    <w:unhideWhenUsed/>
    <w:qFormat/>
    <w:uiPriority w:val="39"/>
    <w:pPr>
      <w:autoSpaceDE w:val="0"/>
      <w:autoSpaceDN w:val="0"/>
      <w:adjustRightInd w:val="0"/>
      <w:ind w:left="420" w:leftChars="200"/>
      <w:jc w:val="left"/>
    </w:pPr>
    <w:rPr>
      <w:rFonts w:ascii="黑体" w:hAnsi="Calibri" w:eastAsia="黑体" w:cs="Times New Roman"/>
      <w:kern w:val="0"/>
      <w:sz w:val="24"/>
      <w:szCs w:val="24"/>
    </w:rPr>
  </w:style>
  <w:style w:type="character" w:styleId="11">
    <w:name w:val="Hyperlink"/>
    <w:basedOn w:val="10"/>
    <w:unhideWhenUsed/>
    <w:uiPriority w:val="99"/>
    <w:rPr>
      <w:color w:val="0000FF"/>
      <w:u w:val="single"/>
    </w:rPr>
  </w:style>
  <w:style w:type="character" w:customStyle="1" w:styleId="12">
    <w:name w:val="标题 1 Char"/>
    <w:basedOn w:val="10"/>
    <w:link w:val="2"/>
    <w:qFormat/>
    <w:uiPriority w:val="99"/>
    <w:rPr>
      <w:rFonts w:ascii="方正小标宋简体" w:eastAsia="方正小标宋简体"/>
      <w:kern w:val="0"/>
      <w:sz w:val="24"/>
      <w:szCs w:val="24"/>
    </w:rPr>
  </w:style>
  <w:style w:type="character" w:customStyle="1" w:styleId="13">
    <w:name w:val="标题 2 Char"/>
    <w:basedOn w:val="10"/>
    <w:link w:val="3"/>
    <w:qFormat/>
    <w:uiPriority w:val="99"/>
    <w:rPr>
      <w:rFonts w:ascii="方正小标宋简体" w:eastAsia="方正小标宋简体"/>
      <w:kern w:val="0"/>
      <w:sz w:val="24"/>
      <w:szCs w:val="2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styleId="16">
    <w:name w:val="List Paragraph"/>
    <w:basedOn w:val="1"/>
    <w:unhideWhenUsed/>
    <w:uiPriority w:val="99"/>
    <w:pPr>
      <w:ind w:firstLine="420" w:firstLineChars="200"/>
    </w:pPr>
  </w:style>
  <w:style w:type="paragraph" w:customStyle="1" w:styleId="17">
    <w:name w:val="TOC Heading"/>
    <w:basedOn w:val="2"/>
    <w:next w:val="1"/>
    <w:qFormat/>
    <w:uiPriority w:val="39"/>
    <w:pPr>
      <w:keepNext/>
      <w:keepLines/>
      <w:widowControl/>
      <w:autoSpaceDE/>
      <w:autoSpaceDN/>
      <w:adjustRightInd/>
      <w:spacing w:before="480" w:line="276" w:lineRule="auto"/>
      <w:outlineLvl w:val="9"/>
    </w:pPr>
    <w:rPr>
      <w:rFonts w:ascii="Cambria" w:hAnsi="Cambria" w:eastAsia="宋体" w:cs="Times New Roman"/>
      <w:b/>
      <w:bCs/>
      <w:color w:val="365F91"/>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2CA150-8DFF-4A5B-85BE-3B75CE5C5A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4612</Words>
  <Characters>5301</Characters>
  <Lines>38</Lines>
  <Paragraphs>10</Paragraphs>
  <TotalTime>11</TotalTime>
  <ScaleCrop>false</ScaleCrop>
  <LinksUpToDate>false</LinksUpToDate>
  <CharactersWithSpaces>5330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2024-09-20T07:55:00Z</dcterms:created>
  <dc:creator>office</dc:creator>
  <cp:lastModifiedBy>S.mile</cp:lastModifiedBy>
  <dcterms:modified xsi:type="dcterms:W3CDTF">2024-09-26T13:08:03Z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A44E0A178634409BBBA50D5636087390_13</vt:lpwstr>
  </property>
</Properties>
</file>