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F0390">
      <w:pPr>
        <w:autoSpaceDE w:val="0"/>
        <w:autoSpaceDN w:val="0"/>
        <w:adjustRightInd w:val="0"/>
        <w:jc w:val="center"/>
        <w:rPr>
          <w:rFonts w:ascii="Times New Roman" w:hAnsi="Times New Roman" w:eastAsia="方正小标宋简体" w:cs="方正小标宋简体"/>
          <w:kern w:val="0"/>
          <w:sz w:val="48"/>
          <w:szCs w:val="48"/>
          <w:lang w:val="zh-CN"/>
        </w:rPr>
      </w:pPr>
    </w:p>
    <w:p w14:paraId="083F9165">
      <w:pPr>
        <w:autoSpaceDE w:val="0"/>
        <w:autoSpaceDN w:val="0"/>
        <w:adjustRightInd w:val="0"/>
        <w:jc w:val="center"/>
        <w:rPr>
          <w:rFonts w:ascii="Times New Roman" w:hAnsi="Times New Roman" w:eastAsia="方正小标宋简体" w:cs="方正小标宋简体"/>
          <w:kern w:val="0"/>
          <w:sz w:val="48"/>
          <w:szCs w:val="48"/>
          <w:lang w:val="zh-CN"/>
        </w:rPr>
      </w:pPr>
    </w:p>
    <w:p w14:paraId="51318419">
      <w:pPr>
        <w:autoSpaceDE w:val="0"/>
        <w:autoSpaceDN w:val="0"/>
        <w:adjustRightInd w:val="0"/>
        <w:jc w:val="center"/>
        <w:rPr>
          <w:rFonts w:ascii="Times New Roman" w:hAnsi="Times New Roman" w:eastAsia="方正小标宋简体" w:cs="方正小标宋简体"/>
          <w:kern w:val="0"/>
          <w:sz w:val="48"/>
          <w:szCs w:val="48"/>
          <w:lang w:val="zh-CN"/>
        </w:rPr>
      </w:pPr>
    </w:p>
    <w:p w14:paraId="2D130CE2">
      <w:pPr>
        <w:autoSpaceDE w:val="0"/>
        <w:autoSpaceDN w:val="0"/>
        <w:adjustRightInd w:val="0"/>
        <w:jc w:val="center"/>
        <w:rPr>
          <w:rFonts w:ascii="Times New Roman" w:hAnsi="Times New Roman" w:eastAsia="方正小标宋简体" w:cs="方正小标宋简体"/>
          <w:kern w:val="0"/>
          <w:sz w:val="48"/>
          <w:szCs w:val="48"/>
          <w:lang w:val="zh-CN"/>
        </w:rPr>
      </w:pPr>
    </w:p>
    <w:p w14:paraId="4EB008BC">
      <w:pPr>
        <w:autoSpaceDE w:val="0"/>
        <w:autoSpaceDN w:val="0"/>
        <w:adjustRightInd w:val="0"/>
        <w:jc w:val="center"/>
        <w:rPr>
          <w:rFonts w:ascii="Times New Roman" w:hAnsi="Times New Roman" w:eastAsia="方正小标宋简体" w:cs="方正小标宋简体"/>
          <w:kern w:val="0"/>
          <w:sz w:val="48"/>
          <w:szCs w:val="48"/>
          <w:lang w:val="zh-CN"/>
        </w:rPr>
      </w:pPr>
    </w:p>
    <w:p w14:paraId="001EA7B3">
      <w:pPr>
        <w:autoSpaceDE w:val="0"/>
        <w:autoSpaceDN w:val="0"/>
        <w:adjustRightInd w:val="0"/>
        <w:jc w:val="center"/>
        <w:rPr>
          <w:rFonts w:ascii="Times New Roman" w:hAnsi="Times New Roman" w:eastAsia="方正小标宋简体" w:cs="方正小标宋简体"/>
          <w:kern w:val="0"/>
          <w:sz w:val="48"/>
          <w:szCs w:val="48"/>
          <w:lang w:val="zh-CN"/>
        </w:rPr>
      </w:pPr>
    </w:p>
    <w:p w14:paraId="0EC71BCC">
      <w:pPr>
        <w:autoSpaceDE w:val="0"/>
        <w:autoSpaceDN w:val="0"/>
        <w:adjustRightInd w:val="0"/>
        <w:jc w:val="center"/>
        <w:rPr>
          <w:rFonts w:ascii="Times New Roman" w:hAnsi="Times New Roman" w:eastAsia="方正小标宋简体" w:cs="方正小标宋简体"/>
          <w:kern w:val="0"/>
          <w:sz w:val="48"/>
          <w:szCs w:val="48"/>
          <w:lang w:val="zh-CN"/>
        </w:rPr>
      </w:pPr>
    </w:p>
    <w:p w14:paraId="6FC1B3F7">
      <w:pPr>
        <w:autoSpaceDE w:val="0"/>
        <w:autoSpaceDN w:val="0"/>
        <w:adjustRightInd w:val="0"/>
        <w:jc w:val="center"/>
        <w:rPr>
          <w:rFonts w:ascii="Times New Roman" w:hAnsi="Times New Roman" w:eastAsia="方正小标宋简体" w:cs="方正小标宋简体"/>
          <w:kern w:val="0"/>
          <w:sz w:val="48"/>
          <w:szCs w:val="48"/>
          <w:lang w:val="zh-CN"/>
        </w:rPr>
      </w:pPr>
    </w:p>
    <w:p w14:paraId="0D70196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天津市滨海新区中医医院2023年度</w:t>
      </w:r>
    </w:p>
    <w:p w14:paraId="76FD75B9">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部门决算</w:t>
      </w:r>
    </w:p>
    <w:p w14:paraId="21D62C19">
      <w:pPr>
        <w:autoSpaceDE w:val="0"/>
        <w:autoSpaceDN w:val="0"/>
        <w:adjustRightInd w:val="0"/>
        <w:spacing w:line="580" w:lineRule="exact"/>
        <w:jc w:val="center"/>
        <w:rPr>
          <w:rFonts w:ascii="Times New Roman" w:hAnsi="Times New Roman" w:eastAsia="黑体" w:cs="黑体"/>
          <w:sz w:val="30"/>
          <w:szCs w:val="30"/>
        </w:rPr>
      </w:pPr>
    </w:p>
    <w:p w14:paraId="18993F68">
      <w:pPr>
        <w:autoSpaceDE w:val="0"/>
        <w:autoSpaceDN w:val="0"/>
        <w:adjustRightInd w:val="0"/>
        <w:spacing w:line="580" w:lineRule="exact"/>
        <w:jc w:val="center"/>
        <w:rPr>
          <w:rFonts w:ascii="Times New Roman" w:hAnsi="Times New Roman" w:eastAsia="黑体" w:cs="黑体"/>
          <w:sz w:val="30"/>
          <w:szCs w:val="30"/>
        </w:rPr>
      </w:pPr>
    </w:p>
    <w:p w14:paraId="08723947">
      <w:pPr>
        <w:autoSpaceDE w:val="0"/>
        <w:autoSpaceDN w:val="0"/>
        <w:adjustRightInd w:val="0"/>
        <w:spacing w:line="580" w:lineRule="exact"/>
        <w:jc w:val="center"/>
        <w:rPr>
          <w:rFonts w:ascii="Times New Roman" w:hAnsi="Times New Roman" w:eastAsia="黑体" w:cs="黑体"/>
          <w:sz w:val="30"/>
          <w:szCs w:val="30"/>
        </w:rPr>
      </w:pPr>
    </w:p>
    <w:p w14:paraId="100133A9">
      <w:pPr>
        <w:autoSpaceDE w:val="0"/>
        <w:autoSpaceDN w:val="0"/>
        <w:adjustRightInd w:val="0"/>
        <w:spacing w:line="580" w:lineRule="exact"/>
        <w:jc w:val="center"/>
        <w:rPr>
          <w:rFonts w:ascii="Times New Roman" w:hAnsi="Times New Roman" w:eastAsia="黑体" w:cs="黑体"/>
          <w:sz w:val="30"/>
          <w:szCs w:val="30"/>
        </w:rPr>
      </w:pPr>
    </w:p>
    <w:p w14:paraId="6108CA4C">
      <w:pPr>
        <w:autoSpaceDE w:val="0"/>
        <w:autoSpaceDN w:val="0"/>
        <w:adjustRightInd w:val="0"/>
        <w:spacing w:line="580" w:lineRule="exact"/>
        <w:jc w:val="center"/>
        <w:rPr>
          <w:rFonts w:ascii="Times New Roman" w:hAnsi="Times New Roman" w:eastAsia="黑体" w:cs="黑体"/>
          <w:sz w:val="30"/>
          <w:szCs w:val="30"/>
        </w:rPr>
      </w:pPr>
    </w:p>
    <w:p w14:paraId="7735DDEA">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F09CDCA">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5CA9C56A">
      <w:pPr>
        <w:autoSpaceDE w:val="0"/>
        <w:autoSpaceDN w:val="0"/>
        <w:adjustRightInd w:val="0"/>
        <w:spacing w:line="600" w:lineRule="exact"/>
        <w:jc w:val="left"/>
        <w:rPr>
          <w:rFonts w:ascii="Times New Roman" w:hAnsi="Times New Roman" w:eastAsia="黑体" w:cs="黑体"/>
          <w:kern w:val="0"/>
          <w:sz w:val="30"/>
          <w:szCs w:val="30"/>
        </w:rPr>
      </w:pPr>
    </w:p>
    <w:p w14:paraId="18BC330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78E9227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833F5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B029E0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7DC967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15F26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E1502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47E1D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572A5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695015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CF33D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829DA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3EB78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72EE3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733F1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63BB7B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D19DE1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0990F5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1FE8D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7E5F22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183D84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D352B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4153E3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100FAA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0D09C0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7D2A22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1978D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E0DFD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3AAA8F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FB8F0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64AF7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9ED99D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322D3AAC">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DAD37B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0C42239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F5A798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研究承担本区域居民的预防、医疗和保健任务等；区域内传染病、职业病和非传染性慢性病的防控；区域内人群的健康教育工作；强化区域内医疗救治体系，有效应对各种突发性公共卫生事件。加强重点学科建设和科研课题合作。</w:t>
      </w:r>
    </w:p>
    <w:p w14:paraId="25D08E1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023482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天津市滨海新区中医医院内设15个职能科室；下辖0个预算单位。纳入天津市滨海新区中医医院2023年度部门决算编制范围的单位包括：</w:t>
      </w:r>
    </w:p>
    <w:p w14:paraId="450D740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w:t>
      </w:r>
    </w:p>
    <w:p w14:paraId="4ED42E4F">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17AE085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7E80655D">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3FAF84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C3FDB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B4C8D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E1206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6FE23A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CBDCEE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674240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40544D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6176E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3A4714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249A00B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1C7D855">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0036DEA8">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5CCEC4D8">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1.天津市滨海新区中医医院2023年度政府性基金预算财政拨款收入支出决算表为空表。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2.天津市滨海新区中医医院2023年度国有资本经营预算财政拨款收入支出决算表为空表。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3.天津市滨海新区中医医院2023年度一般公共预算财政拨款“三公”经费支出决算表为空表。</w:t>
      </w:r>
    </w:p>
    <w:p w14:paraId="75C852AF">
      <w:pPr>
        <w:autoSpaceDE w:val="0"/>
        <w:autoSpaceDN w:val="0"/>
        <w:adjustRightInd w:val="0"/>
        <w:spacing w:line="600" w:lineRule="exact"/>
        <w:ind w:firstLine="601"/>
        <w:jc w:val="left"/>
        <w:rPr>
          <w:rFonts w:ascii="Times New Roman" w:hAnsi="Times New Roman" w:eastAsia="仿宋_GB2312" w:cs="仿宋_GB2312"/>
          <w:sz w:val="30"/>
          <w:szCs w:val="30"/>
        </w:rPr>
      </w:pPr>
    </w:p>
    <w:p w14:paraId="292E3190">
      <w:pPr>
        <w:keepNext/>
        <w:keepLines/>
        <w:pageBreakBefore w:val="0"/>
        <w:widowControl w:val="0"/>
        <w:kinsoku/>
        <w:wordWrap/>
        <w:overflowPunct/>
        <w:topLinePunct w:val="0"/>
        <w:autoSpaceDE w:val="0"/>
        <w:autoSpaceDN w:val="0"/>
        <w:bidi w:val="0"/>
        <w:adjustRightInd w:val="0"/>
        <w:snapToGrid/>
        <w:spacing w:line="600" w:lineRule="exact"/>
        <w:ind w:left="0" w:firstLine="600"/>
        <w:jc w:val="left"/>
        <w:textAlignment w:val="auto"/>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6326549A">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黑体" w:cs="黑体"/>
          <w:sz w:val="30"/>
          <w:szCs w:val="30"/>
          <w:lang w:val="zh-CN"/>
        </w:rPr>
      </w:pPr>
    </w:p>
    <w:p w14:paraId="05FA9B3E">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67759EB">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天津市滨海新区中医医院2023年度收入、支出决算总计</w:t>
      </w:r>
      <w:r>
        <w:rPr>
          <w:rFonts w:hint="eastAsia" w:ascii="Times New Roman" w:hAnsi="Times New Roman" w:eastAsia="仿宋_GB2312" w:cs="仿宋_GB2312"/>
          <w:sz w:val="30"/>
          <w:szCs w:val="30"/>
        </w:rPr>
        <w:t>669,771,838.59元，与2022年度相比，收、支总计各增加202,509,395.44元，增长43.34%，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：医院北塘、杭州道双院区运行，临床科室增多，床位增加，人员增加，业务规模扩大。</w:t>
      </w:r>
    </w:p>
    <w:p w14:paraId="098B6F18">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012B0D8">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天津市滨海新区中医医院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616,750,458.52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年度相比增加161,850,833.27元，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：医院北塘、杭州道双院区运行，临床科室增多，床位增加，业务规模扩大。</w:t>
      </w:r>
    </w:p>
    <w:p w14:paraId="7396C050">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133,890,414.50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21.71</w:t>
      </w:r>
      <w:r>
        <w:rPr>
          <w:rFonts w:hint="eastAsia" w:ascii="Times New Roman" w:hAnsi="Times New Roman" w:eastAsia="宋体" w:cs="Times New Roman"/>
          <w:sz w:val="30"/>
          <w:szCs w:val="30"/>
        </w:rPr>
        <w:t>%；</w:t>
      </w:r>
    </w:p>
    <w:p w14:paraId="1491CA76">
      <w:pPr>
        <w:pageBreakBefore w:val="0"/>
        <w:widowControl w:val="0"/>
        <w:kinsoku/>
        <w:wordWrap/>
        <w:overflowPunct/>
        <w:topLinePunct w:val="0"/>
        <w:autoSpaceDE w:val="0"/>
        <w:autoSpaceDN w:val="0"/>
        <w:bidi w:val="0"/>
        <w:adjustRightInd w:val="0"/>
        <w:snapToGrid/>
        <w:spacing w:line="600" w:lineRule="exact"/>
        <w:ind w:left="0" w:firstLine="600" w:firstLineChars="2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DC3D24C">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AF1C525">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5203912">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482,077,731.27元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78.16%；</w:t>
      </w:r>
    </w:p>
    <w:p w14:paraId="436549C5">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12E5164">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720B556">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343C0D4">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782,312.75元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0.13%。</w:t>
      </w:r>
    </w:p>
    <w:p w14:paraId="33186339">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4A0E411">
      <w:pPr>
        <w:pageBreakBefore w:val="0"/>
        <w:widowControl w:val="0"/>
        <w:kinsoku/>
        <w:wordWrap/>
        <w:overflowPunct/>
        <w:topLinePunct w:val="0"/>
        <w:autoSpaceDE w:val="0"/>
        <w:autoSpaceDN w:val="0"/>
        <w:bidi w:val="0"/>
        <w:adjustRightInd w:val="0"/>
        <w:snapToGrid/>
        <w:spacing w:line="580" w:lineRule="exact"/>
        <w:ind w:left="0"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天津市滨海新区中医医院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年度本年支出合计601,352,926.95元，与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年度相比增加166,375,918.95元，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医院北塘、杭州道双院区门诊住院同时运行，临床科室增多，床位增加，业务规模扩大，人员、药品、耗材、设备购置、科研等各项支出增加。</w:t>
      </w:r>
    </w:p>
    <w:p w14:paraId="0A93D721">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571,305,189.39元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占95.0%；</w:t>
      </w:r>
    </w:p>
    <w:p w14:paraId="477196EA">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30,047,737.56元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占5.0%；</w:t>
      </w:r>
    </w:p>
    <w:p w14:paraId="6B19C5CE">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183D098">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B9C765B">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8E9D40C">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37B6D6D9">
      <w:pPr>
        <w:pageBreakBefore w:val="0"/>
        <w:widowControl w:val="0"/>
        <w:kinsoku/>
        <w:wordWrap/>
        <w:overflowPunct/>
        <w:topLinePunct w:val="0"/>
        <w:autoSpaceDE w:val="0"/>
        <w:autoSpaceDN w:val="0"/>
        <w:bidi w:val="0"/>
        <w:adjustRightInd w:val="0"/>
        <w:snapToGrid/>
        <w:spacing w:line="580" w:lineRule="exact"/>
        <w:ind w:left="0" w:firstLine="60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133,890,414.50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年度相比，财政拨款收、支总计各增加21,691,703.47元，增长19.33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医院承担中医特色重点医院、合作共建等财政拨款项目，财政项目收支增加。</w:t>
      </w:r>
    </w:p>
    <w:p w14:paraId="27A8226E">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785D1A0">
      <w:pPr>
        <w:pageBreakBefore w:val="0"/>
        <w:widowControl w:val="0"/>
        <w:kinsoku/>
        <w:wordWrap/>
        <w:overflowPunct/>
        <w:topLinePunct w:val="0"/>
        <w:autoSpaceDE w:val="0"/>
        <w:autoSpaceDN w:val="0"/>
        <w:bidi w:val="0"/>
        <w:adjustRightInd w:val="0"/>
        <w:snapToGrid/>
        <w:spacing w:line="600" w:lineRule="exact"/>
        <w:ind w:firstLine="602" w:firstLineChars="200"/>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CAA5E97">
      <w:pPr>
        <w:pageBreakBefore w:val="0"/>
        <w:widowControl w:val="0"/>
        <w:kinsoku/>
        <w:wordWrap/>
        <w:overflowPunct/>
        <w:topLinePunct w:val="0"/>
        <w:autoSpaceDE w:val="0"/>
        <w:autoSpaceDN w:val="0"/>
        <w:bidi w:val="0"/>
        <w:adjustRightInd w:val="0"/>
        <w:snapToGrid/>
        <w:spacing w:line="600" w:lineRule="exact"/>
        <w:ind w:left="0" w:firstLine="72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计133,890,414.50元，占本年支出合计的22.26%，与2022年度相比，一般公共预算财政拨款支出增加21,691,703.47元，增长19.33%，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：医院承担中医特色重点医院、合作共建等财政拨款项目，财政项目支出增加。</w:t>
      </w:r>
    </w:p>
    <w:p w14:paraId="55E2B085">
      <w:pPr>
        <w:pageBreakBefore w:val="0"/>
        <w:widowControl w:val="0"/>
        <w:kinsoku/>
        <w:wordWrap/>
        <w:overflowPunct/>
        <w:topLinePunct w:val="0"/>
        <w:autoSpaceDE w:val="0"/>
        <w:autoSpaceDN w:val="0"/>
        <w:bidi w:val="0"/>
        <w:adjustRightInd w:val="0"/>
        <w:snapToGrid/>
        <w:spacing w:line="600" w:lineRule="exact"/>
        <w:ind w:left="0" w:firstLine="602" w:firstLineChars="200"/>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8E701AE">
      <w:pPr>
        <w:pageBreakBefore w:val="0"/>
        <w:widowControl w:val="0"/>
        <w:kinsoku/>
        <w:wordWrap/>
        <w:overflowPunct/>
        <w:topLinePunct w:val="0"/>
        <w:autoSpaceDE w:val="0"/>
        <w:autoSpaceDN w:val="0"/>
        <w:bidi w:val="0"/>
        <w:adjustRightInd w:val="0"/>
        <w:snapToGrid/>
        <w:spacing w:line="600" w:lineRule="exact"/>
        <w:ind w:left="0" w:firstLine="72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133,890,414.50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000.00元，占3.73%；卫生健康支出128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890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414.5元，占96.27%。</w:t>
      </w:r>
    </w:p>
    <w:p w14:paraId="5083F589">
      <w:pPr>
        <w:pageBreakBefore w:val="0"/>
        <w:widowControl w:val="0"/>
        <w:kinsoku/>
        <w:wordWrap/>
        <w:overflowPunct/>
        <w:topLinePunct w:val="0"/>
        <w:autoSpaceDE w:val="0"/>
        <w:autoSpaceDN w:val="0"/>
        <w:bidi w:val="0"/>
        <w:adjustRightInd w:val="0"/>
        <w:snapToGrid/>
        <w:spacing w:line="600" w:lineRule="exact"/>
        <w:ind w:left="0" w:firstLine="602" w:firstLineChars="200"/>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52F8EF15">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113,08</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000</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0</w:t>
      </w:r>
      <w:r>
        <w:rPr>
          <w:rFonts w:hint="eastAsia" w:ascii="Times New Roman" w:hAnsi="Times New Roman" w:eastAsia="仿宋_GB2312" w:cs="Times New Roman"/>
          <w:sz w:val="30"/>
          <w:szCs w:val="30"/>
        </w:rPr>
        <w:t>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133,890,414.50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118.4%</w:t>
      </w:r>
      <w:r>
        <w:rPr>
          <w:rFonts w:hint="eastAsia" w:ascii="Times New Roman" w:hAnsi="Times New Roman" w:eastAsia="仿宋_GB2312" w:cs="仿宋_GB2312"/>
          <w:kern w:val="0"/>
          <w:sz w:val="30"/>
          <w:szCs w:val="30"/>
        </w:rPr>
        <w:t>。其中：</w:t>
      </w:r>
    </w:p>
    <w:p w14:paraId="2C3D2736">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1.教育支出（类）普通教育（款）高等教育（项）年初预算为5000000.00元，支出决算为5000000.00元，完成年初预算的100%，决算数等于年初预算数。</w:t>
      </w:r>
    </w:p>
    <w:p w14:paraId="57C88005">
      <w:pPr>
        <w:keepNext/>
        <w:keepLines/>
        <w:pageBreakBefore w:val="0"/>
        <w:widowControl w:val="0"/>
        <w:kinsoku/>
        <w:wordWrap/>
        <w:overflowPunct/>
        <w:topLinePunct w:val="0"/>
        <w:autoSpaceDE w:val="0"/>
        <w:autoSpaceDN w:val="0"/>
        <w:bidi w:val="0"/>
        <w:adjustRightInd w:val="0"/>
        <w:snapToGrid/>
        <w:spacing w:line="600" w:lineRule="exact"/>
        <w:ind w:left="0" w:firstLine="602"/>
        <w:jc w:val="both"/>
        <w:textAlignment w:val="auto"/>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2.卫生健康支出（类）公立医院（款）中医（民族）医院（项）年初预算为10808</w:t>
      </w:r>
      <w:r>
        <w:rPr>
          <w:rFonts w:hint="eastAsia" w:ascii="Times New Roman" w:hAnsi="Times New Roman" w:eastAsia="仿宋_GB2312" w:cs="仿宋_GB2312"/>
          <w:sz w:val="30"/>
          <w:szCs w:val="30"/>
          <w:lang w:val="en-US" w:eastAsia="zh-CN"/>
        </w:rPr>
        <w:t>3000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0元，支出决算为122853711.80元，完成年初预算的113.67%，决算数大于年初预算数的主要原因是追加预算用于抚恤金、人员类项目、公立医院综合改革、中医特色重点医院建设。</w:t>
      </w:r>
    </w:p>
    <w:p w14:paraId="51F3878F">
      <w:pPr>
        <w:keepNext/>
        <w:keepLines/>
        <w:pageBreakBefore w:val="0"/>
        <w:widowControl w:val="0"/>
        <w:kinsoku/>
        <w:wordWrap/>
        <w:overflowPunct/>
        <w:topLinePunct w:val="0"/>
        <w:autoSpaceDE w:val="0"/>
        <w:autoSpaceDN w:val="0"/>
        <w:bidi w:val="0"/>
        <w:adjustRightInd w:val="0"/>
        <w:snapToGrid/>
        <w:spacing w:line="600" w:lineRule="exact"/>
        <w:ind w:left="0" w:firstLine="602"/>
        <w:jc w:val="both"/>
        <w:textAlignment w:val="auto"/>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公共卫生（款）基本公共卫生服务（项）年初预算为0.00元，追加预算为200.00元，支出决算为200元，完成追加预算的100%，决算数等于追加预算数的主要原因是追加预算用于结核病防治等基本公共卫生服务。</w:t>
      </w:r>
    </w:p>
    <w:p w14:paraId="1F843FE6">
      <w:pPr>
        <w:keepNext/>
        <w:keepLines/>
        <w:pageBreakBefore w:val="0"/>
        <w:widowControl w:val="0"/>
        <w:kinsoku/>
        <w:wordWrap/>
        <w:overflowPunct/>
        <w:topLinePunct w:val="0"/>
        <w:autoSpaceDE w:val="0"/>
        <w:autoSpaceDN w:val="0"/>
        <w:bidi w:val="0"/>
        <w:adjustRightInd w:val="0"/>
        <w:snapToGrid/>
        <w:spacing w:line="600" w:lineRule="exact"/>
        <w:ind w:left="0" w:firstLine="602"/>
        <w:jc w:val="both"/>
        <w:textAlignment w:val="auto"/>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重大公共卫生服务（项）年初预算为0.00元，追加预算为73387.77元，支出决算为73387.77元，完成追加预算的100%，决算数等于追加预算数的主要原因是追加预算用于艾滋病防治、慢性病防治、重点传染病及健康危害因素监测（食源性疾病监测）等重大公共卫生服务。</w:t>
      </w:r>
    </w:p>
    <w:p w14:paraId="39BDD833">
      <w:pPr>
        <w:keepNext/>
        <w:keepLines w:val="0"/>
        <w:pageBreakBefore w:val="0"/>
        <w:widowControl w:val="0"/>
        <w:kinsoku/>
        <w:wordWrap/>
        <w:overflowPunct/>
        <w:topLinePunct w:val="0"/>
        <w:autoSpaceDE w:val="0"/>
        <w:autoSpaceDN w:val="0"/>
        <w:bidi w:val="0"/>
        <w:adjustRightInd w:val="0"/>
        <w:snapToGrid/>
        <w:spacing w:line="600" w:lineRule="exact"/>
        <w:ind w:left="0" w:firstLine="602"/>
        <w:jc w:val="both"/>
        <w:textAlignment w:val="auto"/>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公共卫生（款）突发公共卫生事件应急处理（项）年初预算为0.00元，追加预算为3321550.00元，支出决算为3321550.00元，完成追加预算的100%，决算数等于追加预算数的主要原因是追加预算用于区卫生系统临时性工作补助、新冠病毒感染疫情救治能力提升。</w:t>
      </w:r>
    </w:p>
    <w:p w14:paraId="6932DB95">
      <w:pPr>
        <w:keepNext/>
        <w:keepLines w:val="0"/>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类）中医药（款）中医（民族医）药专项（项）年初预算为0.00元，追加预算为2493603.89元，支出决算为2493603.89元，完成追加预算的100%，决算数等于追加预算数的主要原因是追加预算用于中医护理骨干人才培训、中医药康复服务能力提升。</w:t>
      </w:r>
    </w:p>
    <w:p w14:paraId="2F42D357">
      <w:pPr>
        <w:keepNext/>
        <w:keepLines/>
        <w:pageBreakBefore w:val="0"/>
        <w:widowControl w:val="0"/>
        <w:kinsoku/>
        <w:wordWrap/>
        <w:overflowPunct/>
        <w:topLinePunct w:val="0"/>
        <w:autoSpaceDE w:val="0"/>
        <w:autoSpaceDN w:val="0"/>
        <w:bidi w:val="0"/>
        <w:adjustRightInd w:val="0"/>
        <w:snapToGrid/>
        <w:spacing w:line="600" w:lineRule="exact"/>
        <w:ind w:left="0" w:firstLine="602"/>
        <w:jc w:val="both"/>
        <w:textAlignment w:val="auto"/>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7.卫生健康支出（类）中医药（款）其他中医药支出（项）年初预算为0.00元，追加预算为147961.04元，支出决算为147961.04元，完成追加预算的100%，决算数等于追加预算数的主要原因是追加预算用于中医药人才培养、对口帮扶项目、中西医结合科研课题。</w:t>
      </w:r>
    </w:p>
    <w:p w14:paraId="5A13785D">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1211FC8A">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rPr>
      </w:pPr>
      <w:bookmarkStart w:id="0" w:name="_GoBack"/>
      <w:bookmarkEnd w:id="0"/>
      <w:r>
        <w:rPr>
          <w:rFonts w:hint="eastAsia" w:ascii="Times New Roman" w:hAnsi="Times New Roman" w:eastAsia="仿宋_GB2312" w:cs="仿宋_GB2312"/>
          <w:sz w:val="30"/>
          <w:szCs w:val="30"/>
        </w:rPr>
        <w:t>天津市滨海新区中医医院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105,529,441.80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年度相比增加246,193.85元，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医院业务规模扩大，人员增多，人员经费支出有所增加，财政拨款人员经费有所增加。</w:t>
      </w:r>
      <w:r>
        <w:rPr>
          <w:rFonts w:hint="eastAsia" w:ascii="Times New Roman" w:hAnsi="Times New Roman" w:eastAsia="仿宋_GB2312" w:cs="仿宋_GB2312"/>
          <w:kern w:val="0"/>
          <w:sz w:val="30"/>
          <w:szCs w:val="30"/>
        </w:rPr>
        <w:t>其中：</w:t>
      </w:r>
    </w:p>
    <w:p w14:paraId="729F7117">
      <w:pPr>
        <w:pageBreakBefore w:val="0"/>
        <w:widowControl w:val="0"/>
        <w:kinsoku/>
        <w:wordWrap/>
        <w:overflowPunct/>
        <w:topLinePunct w:val="0"/>
        <w:autoSpaceDE w:val="0"/>
        <w:autoSpaceDN w:val="0"/>
        <w:bidi w:val="0"/>
        <w:adjustRightInd w:val="0"/>
        <w:snapToGrid/>
        <w:spacing w:line="600" w:lineRule="exact"/>
        <w:ind w:left="0" w:firstLine="720"/>
        <w:jc w:val="both"/>
        <w:textAlignment w:val="auto"/>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94,752,841.80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kern w:val="0"/>
          <w:sz w:val="30"/>
          <w:szCs w:val="30"/>
          <w:lang w:eastAsia="zh-CN"/>
        </w:rPr>
        <w:t>主要包括</w:t>
      </w:r>
      <w:r>
        <w:rPr>
          <w:rFonts w:hint="eastAsia" w:ascii="Times New Roman" w:hAnsi="Times New Roman" w:eastAsia="仿宋_GB2312" w:cs="仿宋_GB2312"/>
          <w:sz w:val="30"/>
          <w:szCs w:val="30"/>
        </w:rPr>
        <w:t>基本工资、津贴补贴、绩效工资、住房公积金、其他工资福利支出、退休费等。</w:t>
      </w:r>
    </w:p>
    <w:p w14:paraId="453AE908">
      <w:pPr>
        <w:pageBreakBefore w:val="0"/>
        <w:widowControl w:val="0"/>
        <w:kinsoku/>
        <w:wordWrap/>
        <w:overflowPunct/>
        <w:topLinePunct w:val="0"/>
        <w:autoSpaceDE w:val="0"/>
        <w:autoSpaceDN w:val="0"/>
        <w:bidi w:val="0"/>
        <w:adjustRightInd w:val="0"/>
        <w:snapToGrid/>
        <w:spacing w:line="600" w:lineRule="exact"/>
        <w:ind w:left="0" w:firstLine="720"/>
        <w:jc w:val="left"/>
        <w:textAlignment w:val="auto"/>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10,776,600.00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kern w:val="0"/>
          <w:sz w:val="30"/>
          <w:szCs w:val="30"/>
          <w:lang w:eastAsia="zh-CN"/>
        </w:rPr>
        <w:t>主要包括</w:t>
      </w:r>
      <w:r>
        <w:rPr>
          <w:rFonts w:hint="eastAsia" w:ascii="Times New Roman" w:hAnsi="Times New Roman" w:eastAsia="仿宋_GB2312" w:cs="仿宋_GB2312"/>
          <w:sz w:val="30"/>
          <w:szCs w:val="30"/>
        </w:rPr>
        <w:t>电费、物业管理费。</w:t>
      </w:r>
    </w:p>
    <w:p w14:paraId="02F2DE5B">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14D2995">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天津市滨海新区中医医院2023年度无政府性基金预算财政拨款收入、支出和结转结余。</w:t>
      </w:r>
      <w:r>
        <w:rPr>
          <w:rFonts w:hint="eastAsia" w:ascii="Times New Roman" w:hAnsi="Times New Roman" w:eastAsia="仿宋_GB2312" w:cs="仿宋_GB2312"/>
          <w:sz w:val="30"/>
          <w:szCs w:val="30"/>
        </w:rPr>
        <w:tab/>
      </w:r>
    </w:p>
    <w:p w14:paraId="1262FA2D">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F20D693">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天津市滨海新区中医医院2023年度无国有资本经营预算财政拨款收入、支出和结转结余。</w:t>
      </w:r>
    </w:p>
    <w:p w14:paraId="29406914">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5E2669BC">
      <w:pPr>
        <w:pageBreakBefore w:val="0"/>
        <w:widowControl w:val="0"/>
        <w:kinsoku/>
        <w:wordWrap/>
        <w:overflowPunct/>
        <w:topLinePunct w:val="0"/>
        <w:autoSpaceDE w:val="0"/>
        <w:autoSpaceDN w:val="0"/>
        <w:bidi w:val="0"/>
        <w:adjustRightInd w:val="0"/>
        <w:snapToGrid/>
        <w:spacing w:line="600" w:lineRule="exact"/>
        <w:ind w:left="0" w:firstLine="602"/>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9851041">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本年度未用一般公共预算列支“三公”经费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本年度未用一般公共预算列支“三公” 经费。</w:t>
      </w:r>
    </w:p>
    <w:p w14:paraId="245D991A">
      <w:pPr>
        <w:pageBreakBefore w:val="0"/>
        <w:widowControl w:val="0"/>
        <w:kinsoku/>
        <w:wordWrap/>
        <w:overflowPunct/>
        <w:topLinePunct w:val="0"/>
        <w:autoSpaceDE w:val="0"/>
        <w:autoSpaceDN w:val="0"/>
        <w:bidi w:val="0"/>
        <w:adjustRightInd w:val="0"/>
        <w:snapToGrid/>
        <w:spacing w:line="600" w:lineRule="exact"/>
        <w:ind w:left="0" w:firstLine="602"/>
        <w:jc w:val="left"/>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1FD9FD6">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49931AFA">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4799CCF">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50A89F8B">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7EAE2269">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75A8C47">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F1FB2B0">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109A2CF">
      <w:pPr>
        <w:pageBreakBefore w:val="0"/>
        <w:widowControl w:val="0"/>
        <w:kinsoku/>
        <w:wordWrap/>
        <w:overflowPunct/>
        <w:topLinePunct w:val="0"/>
        <w:autoSpaceDE w:val="0"/>
        <w:autoSpaceDN w:val="0"/>
        <w:bidi w:val="0"/>
        <w:adjustRightInd w:val="0"/>
        <w:snapToGrid/>
        <w:spacing w:line="600" w:lineRule="exact"/>
        <w:ind w:left="0" w:firstLine="645"/>
        <w:jc w:val="left"/>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0C8DB2C1">
      <w:pPr>
        <w:pageBreakBefore w:val="0"/>
        <w:widowControl w:val="0"/>
        <w:kinsoku/>
        <w:wordWrap/>
        <w:overflowPunct/>
        <w:topLinePunct w:val="0"/>
        <w:autoSpaceDE w:val="0"/>
        <w:autoSpaceDN w:val="0"/>
        <w:bidi w:val="0"/>
        <w:adjustRightInd w:val="0"/>
        <w:snapToGrid/>
        <w:spacing w:line="600" w:lineRule="exact"/>
        <w:ind w:left="0" w:firstLine="645"/>
        <w:jc w:val="left"/>
        <w:textAlignment w:val="auto"/>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6AC08D6">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602337B3">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天津市滨海新区中医医院2023年度无机关运行经费。</w:t>
      </w:r>
    </w:p>
    <w:p w14:paraId="2EC77F15">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BC7D5F2">
      <w:pPr>
        <w:pageBreakBefore w:val="0"/>
        <w:widowControl w:val="0"/>
        <w:kinsoku/>
        <w:wordWrap/>
        <w:overflowPunct/>
        <w:topLinePunct w:val="0"/>
        <w:autoSpaceDE w:val="0"/>
        <w:autoSpaceDN w:val="0"/>
        <w:bidi w:val="0"/>
        <w:adjustRightInd w:val="0"/>
        <w:snapToGrid/>
        <w:spacing w:line="600" w:lineRule="exact"/>
        <w:ind w:left="0" w:firstLine="600"/>
        <w:jc w:val="both"/>
        <w:textAlignment w:val="auto"/>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天津市滨海新区中医医院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65,480,321.05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21,839,600.00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2,530,000.00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41,110,721.05</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65,480,321.05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58,954,821.05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90.03%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34B003AF">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5BD7B54">
      <w:pPr>
        <w:pageBreakBefore w:val="0"/>
        <w:widowControl w:val="0"/>
        <w:kinsoku/>
        <w:wordWrap/>
        <w:overflowPunct/>
        <w:topLinePunct w:val="0"/>
        <w:autoSpaceDE w:val="0"/>
        <w:autoSpaceDN w:val="0"/>
        <w:bidi w:val="0"/>
        <w:adjustRightInd w:val="0"/>
        <w:snapToGrid/>
        <w:spacing w:line="600" w:lineRule="exact"/>
        <w:ind w:left="0" w:firstLine="72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日，天津市滨海新区中医医院共有车辆</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救护车、转运车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21</w:t>
      </w:r>
      <w:r>
        <w:rPr>
          <w:rFonts w:hint="eastAsia" w:ascii="Times New Roman" w:hAnsi="Times New Roman" w:eastAsia="仿宋_GB2312" w:cs="仿宋_GB2312"/>
          <w:kern w:val="0"/>
          <w:sz w:val="30"/>
          <w:szCs w:val="30"/>
        </w:rPr>
        <w:t>台（套）。</w:t>
      </w:r>
    </w:p>
    <w:p w14:paraId="7EC67B8A">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057B48C5">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根据预算绩效管理要求，天津市滨海新区中医医院2023年度已对22个项目开展绩效自评，涉及金额28360972.7元，自评结果已随部门决算一并公开。</w:t>
      </w:r>
    </w:p>
    <w:p w14:paraId="58DB1653">
      <w:pPr>
        <w:keepNext/>
        <w:keepLines/>
        <w:pageBreakBefore w:val="0"/>
        <w:widowControl w:val="0"/>
        <w:kinsoku/>
        <w:wordWrap/>
        <w:overflowPunct/>
        <w:topLinePunct w:val="0"/>
        <w:autoSpaceDE w:val="0"/>
        <w:autoSpaceDN w:val="0"/>
        <w:bidi w:val="0"/>
        <w:adjustRightInd w:val="0"/>
        <w:snapToGrid/>
        <w:spacing w:line="600" w:lineRule="exact"/>
        <w:ind w:left="0" w:firstLine="602"/>
        <w:jc w:val="left"/>
        <w:textAlignment w:val="auto"/>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335344D">
      <w:pPr>
        <w:pageBreakBefore w:val="0"/>
        <w:widowControl w:val="0"/>
        <w:kinsoku/>
        <w:wordWrap/>
        <w:overflowPunct/>
        <w:topLinePunct w:val="0"/>
        <w:autoSpaceDE w:val="0"/>
        <w:autoSpaceDN w:val="0"/>
        <w:bidi w:val="0"/>
        <w:adjustRightInd w:val="0"/>
        <w:snapToGrid/>
        <w:spacing w:line="600" w:lineRule="exact"/>
        <w:ind w:left="0" w:firstLine="600"/>
        <w:jc w:val="left"/>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天津市滨海新区中医医院不属于乡、镇、街级单位，不涉及公开2023年度教育、医疗卫生、社会保障和就业、住房保障、涉农补贴等民生支出情况。</w:t>
      </w:r>
    </w:p>
    <w:p w14:paraId="29B78518">
      <w:pPr>
        <w:pageBreakBefore w:val="0"/>
        <w:widowControl w:val="0"/>
        <w:kinsoku/>
        <w:wordWrap/>
        <w:overflowPunct/>
        <w:topLinePunct w:val="0"/>
        <w:autoSpaceDE w:val="0"/>
        <w:autoSpaceDN w:val="0"/>
        <w:bidi w:val="0"/>
        <w:adjustRightInd w:val="0"/>
        <w:snapToGrid/>
        <w:ind w:left="0"/>
        <w:jc w:val="left"/>
        <w:textAlignment w:val="auto"/>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8B854D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DF6BB6E">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043956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FD7D2C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8480FA1">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FE53F0-1D95-4C80-8972-61BF620BFB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F4379C1-73BB-4F67-A0B6-FA6794680ED5}"/>
  </w:font>
  <w:font w:name="方正小标宋简体">
    <w:panose1 w:val="02000000000000000000"/>
    <w:charset w:val="86"/>
    <w:family w:val="script"/>
    <w:pitch w:val="default"/>
    <w:sig w:usb0="00000001" w:usb1="080E0000" w:usb2="00000000" w:usb3="00000000" w:csb0="00040000" w:csb1="00000000"/>
    <w:embedRegular r:id="rId3" w:fontKey="{83AAA341-A47B-4F35-B791-780978C6E625}"/>
  </w:font>
  <w:font w:name="仿宋_GB2312">
    <w:panose1 w:val="02010609030101010101"/>
    <w:charset w:val="86"/>
    <w:family w:val="modern"/>
    <w:pitch w:val="default"/>
    <w:sig w:usb0="00000001" w:usb1="080E0000" w:usb2="00000000" w:usb3="00000000" w:csb0="00040000" w:csb1="00000000"/>
    <w:embedRegular r:id="rId4" w:fontKey="{A807B65B-6925-4E2F-A373-1C26E90ED88C}"/>
  </w:font>
  <w:font w:name="楷体">
    <w:panose1 w:val="02010609060101010101"/>
    <w:charset w:val="86"/>
    <w:family w:val="modern"/>
    <w:pitch w:val="default"/>
    <w:sig w:usb0="800002BF" w:usb1="38CF7CFA" w:usb2="00000016" w:usb3="00000000" w:csb0="00040001" w:csb1="00000000"/>
    <w:embedRegular r:id="rId5" w:fontKey="{FC314DAB-1977-4465-9197-50ACFDE5C717}"/>
  </w:font>
  <w:font w:name="楷体_GB2312">
    <w:panose1 w:val="02010609030101010101"/>
    <w:charset w:val="86"/>
    <w:family w:val="modern"/>
    <w:pitch w:val="default"/>
    <w:sig w:usb0="00000001" w:usb1="080E0000" w:usb2="00000000" w:usb3="00000000" w:csb0="00040000" w:csb1="00000000"/>
    <w:embedRegular r:id="rId6" w:fontKey="{55075306-31DF-4517-817A-AC39E39FA6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3B15"/>
    <w:rsid w:val="000B5C71"/>
    <w:rsid w:val="000D4B98"/>
    <w:rsid w:val="00127EFA"/>
    <w:rsid w:val="00137B10"/>
    <w:rsid w:val="00142888"/>
    <w:rsid w:val="00152EEB"/>
    <w:rsid w:val="00153077"/>
    <w:rsid w:val="00167CB7"/>
    <w:rsid w:val="001761A4"/>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3BBA"/>
    <w:rsid w:val="005349A2"/>
    <w:rsid w:val="00575537"/>
    <w:rsid w:val="005D1367"/>
    <w:rsid w:val="005D3F56"/>
    <w:rsid w:val="00654D17"/>
    <w:rsid w:val="006623EC"/>
    <w:rsid w:val="00684DF8"/>
    <w:rsid w:val="0069192E"/>
    <w:rsid w:val="006A094D"/>
    <w:rsid w:val="006D2409"/>
    <w:rsid w:val="006E65DB"/>
    <w:rsid w:val="00776FF3"/>
    <w:rsid w:val="0078156E"/>
    <w:rsid w:val="00786E74"/>
    <w:rsid w:val="007903C8"/>
    <w:rsid w:val="007D1285"/>
    <w:rsid w:val="007E49E1"/>
    <w:rsid w:val="007F6DA7"/>
    <w:rsid w:val="008174D5"/>
    <w:rsid w:val="00885126"/>
    <w:rsid w:val="0089698B"/>
    <w:rsid w:val="008D48A9"/>
    <w:rsid w:val="00941A30"/>
    <w:rsid w:val="00977DCC"/>
    <w:rsid w:val="009820CF"/>
    <w:rsid w:val="00982A8B"/>
    <w:rsid w:val="009A7ED3"/>
    <w:rsid w:val="009B01A8"/>
    <w:rsid w:val="009B40ED"/>
    <w:rsid w:val="009D74D7"/>
    <w:rsid w:val="00A57AE7"/>
    <w:rsid w:val="00AF71AE"/>
    <w:rsid w:val="00B33C70"/>
    <w:rsid w:val="00B75228"/>
    <w:rsid w:val="00B811F1"/>
    <w:rsid w:val="00B81B9F"/>
    <w:rsid w:val="00B91714"/>
    <w:rsid w:val="00BC763A"/>
    <w:rsid w:val="00BC7D6F"/>
    <w:rsid w:val="00BD3CAC"/>
    <w:rsid w:val="00BF697A"/>
    <w:rsid w:val="00C52E77"/>
    <w:rsid w:val="00C55696"/>
    <w:rsid w:val="00C65A44"/>
    <w:rsid w:val="00C76AC3"/>
    <w:rsid w:val="00C83EB4"/>
    <w:rsid w:val="00CA3583"/>
    <w:rsid w:val="00CD1E6C"/>
    <w:rsid w:val="00D4505A"/>
    <w:rsid w:val="00D65B41"/>
    <w:rsid w:val="00DC3234"/>
    <w:rsid w:val="00DC3CD0"/>
    <w:rsid w:val="00DD60B5"/>
    <w:rsid w:val="00E466D7"/>
    <w:rsid w:val="00E7602B"/>
    <w:rsid w:val="00E964B2"/>
    <w:rsid w:val="00EA6549"/>
    <w:rsid w:val="00EB38B9"/>
    <w:rsid w:val="00F007FE"/>
    <w:rsid w:val="00F877DA"/>
    <w:rsid w:val="017D4A3B"/>
    <w:rsid w:val="01A10E80"/>
    <w:rsid w:val="01D8560D"/>
    <w:rsid w:val="029D518A"/>
    <w:rsid w:val="03311B3F"/>
    <w:rsid w:val="03901927"/>
    <w:rsid w:val="05CA273A"/>
    <w:rsid w:val="05E55C53"/>
    <w:rsid w:val="065D2912"/>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AE70B0"/>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00526D"/>
    <w:rsid w:val="24B227A0"/>
    <w:rsid w:val="25BA7C7E"/>
    <w:rsid w:val="2666570F"/>
    <w:rsid w:val="26DB4B05"/>
    <w:rsid w:val="271B299E"/>
    <w:rsid w:val="27DD7C53"/>
    <w:rsid w:val="284E3F62"/>
    <w:rsid w:val="28612632"/>
    <w:rsid w:val="2A924D25"/>
    <w:rsid w:val="2AAF7AEC"/>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94C69E7"/>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BC42094"/>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B1394C"/>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F922BF"/>
    <w:rsid w:val="63B80927"/>
    <w:rsid w:val="643C1F0A"/>
    <w:rsid w:val="644D16E1"/>
    <w:rsid w:val="64925346"/>
    <w:rsid w:val="64985CD3"/>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6660D9"/>
    <w:rsid w:val="79942A03"/>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4710</Words>
  <Characters>5542</Characters>
  <Lines>40</Lines>
  <Paragraphs>11</Paragraphs>
  <TotalTime>0</TotalTime>
  <ScaleCrop>false</ScaleCrop>
  <LinksUpToDate>false</LinksUpToDate>
  <CharactersWithSpaces>5560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2024-09-20T02:51:00Z</dcterms:created>
  <dc:creator>office</dc:creator>
  <cp:lastModifiedBy>S.mile</cp:lastModifiedBy>
  <dcterms:modified xsi:type="dcterms:W3CDTF">2024-09-26T13:53:01Z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