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174E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cs="Times New Roman"/>
          <w:sz w:val="44"/>
          <w:szCs w:val="44"/>
        </w:rPr>
      </w:pPr>
      <w:r>
        <w:rPr>
          <w:rFonts w:hint="eastAsia" w:eastAsia="方正小标宋简体" w:cs="Times New Roman"/>
          <w:sz w:val="44"/>
          <w:szCs w:val="44"/>
        </w:rPr>
        <w:t>区</w:t>
      </w:r>
      <w:r>
        <w:rPr>
          <w:rFonts w:ascii="Times New Roman" w:hAnsi="Times New Roman" w:eastAsia="方正小标宋简体" w:cs="Times New Roman"/>
          <w:sz w:val="44"/>
          <w:szCs w:val="44"/>
        </w:rPr>
        <w:t>卫生健康委关于</w:t>
      </w:r>
      <w:r>
        <w:rPr>
          <w:rFonts w:hint="eastAsia" w:ascii="Times New Roman" w:hAnsi="Times New Roman" w:eastAsia="方正小标宋简体" w:cs="Times New Roman"/>
          <w:sz w:val="44"/>
          <w:szCs w:val="44"/>
        </w:rPr>
        <w:t>印发《滨海新区民营医疗</w:t>
      </w:r>
    </w:p>
    <w:p w14:paraId="6814C699">
      <w:pPr>
        <w:keepNext w:val="0"/>
        <w:keepLines w:val="0"/>
        <w:pageBreakBefore w:val="0"/>
        <w:widowControl w:val="0"/>
        <w:kinsoku/>
        <w:wordWrap/>
        <w:overflowPunct/>
        <w:topLinePunct w:val="0"/>
        <w:autoSpaceDE/>
        <w:autoSpaceDN/>
        <w:bidi w:val="0"/>
        <w:adjustRightInd/>
        <w:snapToGrid/>
        <w:spacing w:line="578" w:lineRule="exact"/>
        <w:ind w:left="1744" w:hanging="1744" w:hangingChars="40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机构依法执业规范诊疗专项检查</w:t>
      </w:r>
    </w:p>
    <w:p w14:paraId="00521C05">
      <w:pPr>
        <w:keepNext w:val="0"/>
        <w:keepLines w:val="0"/>
        <w:pageBreakBefore w:val="0"/>
        <w:widowControl w:val="0"/>
        <w:kinsoku/>
        <w:wordWrap/>
        <w:overflowPunct/>
        <w:topLinePunct w:val="0"/>
        <w:autoSpaceDE/>
        <w:autoSpaceDN/>
        <w:bidi w:val="0"/>
        <w:adjustRightInd/>
        <w:snapToGrid/>
        <w:spacing w:line="578" w:lineRule="exact"/>
        <w:ind w:left="1744" w:hanging="1744" w:hangingChars="40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工作方案》</w:t>
      </w:r>
      <w:r>
        <w:rPr>
          <w:rFonts w:ascii="Times New Roman" w:hAnsi="Times New Roman" w:eastAsia="方正小标宋简体" w:cs="Times New Roman"/>
          <w:sz w:val="44"/>
          <w:szCs w:val="44"/>
        </w:rPr>
        <w:t>的通知</w:t>
      </w:r>
    </w:p>
    <w:p w14:paraId="786A0520">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cs="Times New Roman"/>
        </w:rPr>
      </w:pPr>
    </w:p>
    <w:p w14:paraId="6B3DD3AD">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cs="Times New Roman"/>
        </w:rPr>
      </w:pPr>
      <w:r>
        <w:rPr>
          <w:rFonts w:hint="eastAsia" w:cs="Times New Roman"/>
        </w:rPr>
        <w:t>各开发区、泰达街卫生健康管理部门，</w:t>
      </w:r>
      <w:r>
        <w:rPr>
          <w:rFonts w:ascii="Times New Roman" w:hAnsi="Times New Roman" w:cs="Times New Roman"/>
        </w:rPr>
        <w:t>各</w:t>
      </w:r>
      <w:r>
        <w:rPr>
          <w:rFonts w:hint="eastAsia" w:cs="Times New Roman"/>
        </w:rPr>
        <w:t>民营医疗机构：</w:t>
      </w:r>
    </w:p>
    <w:p w14:paraId="677899F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仿宋_GB2312" w:hAnsi="仿宋_GB2312" w:cs="仿宋_GB2312"/>
        </w:rPr>
        <w:t>为进一步加强新区民营医疗机构管理，巩固“民营医院管理年”“规范民营医院发展专项行动”等工作成果，维护良好医疗秩序，规范诊疗行为,推动新区民营医疗机构依法执业、安全运行、着力构建优质高效的医疗卫生服务体系，引导民营医疗机构端正办医理念、强化内部管理，高效统筹发展和安全，实现民营医疗机构和公立医疗机构共同实现高质量发展，按照《市卫生健康委关于开展民营医疗机构依法执业规范诊疗专项检查工作的通知》（津卫医政〔</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rPr>
        <w:t>〕</w:t>
      </w:r>
      <w:r>
        <w:rPr>
          <w:rFonts w:hint="eastAsia" w:ascii="Times New Roman" w:hAnsi="Times New Roman" w:eastAsia="仿宋_GB2312" w:cs="Times New Roman"/>
          <w:kern w:val="2"/>
          <w:sz w:val="32"/>
          <w:szCs w:val="32"/>
          <w:lang w:val="en-US" w:eastAsia="zh-CN" w:bidi="ar-SA"/>
        </w:rPr>
        <w:t>239</w:t>
      </w:r>
      <w:r>
        <w:rPr>
          <w:rFonts w:hint="eastAsia" w:ascii="仿宋_GB2312" w:hAnsi="仿宋_GB2312" w:cs="仿宋_GB2312"/>
        </w:rPr>
        <w:t>号）要求，区卫生健康委决定开展滨海新区民营医疗机构依法执业、规范诊疗专项检查工作，现将《滨海新区民营医疗机构依法执业规范诊疗专项检查工作方案》印发给你们，请遵照执行。</w:t>
      </w:r>
    </w:p>
    <w:p w14:paraId="61579F40">
      <w:pPr>
        <w:pStyle w:val="3"/>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仿宋_GB2312" w:cs="仿宋_GB2312"/>
          <w:sz w:val="32"/>
        </w:rPr>
      </w:pPr>
    </w:p>
    <w:p w14:paraId="4255ACB1">
      <w:pPr>
        <w:pStyle w:val="3"/>
        <w:rPr>
          <w:rFonts w:hint="eastAsia" w:ascii="仿宋_GB2312" w:hAnsi="仿宋_GB2312" w:cs="仿宋_GB2312"/>
          <w:sz w:val="32"/>
        </w:rPr>
      </w:pPr>
    </w:p>
    <w:p w14:paraId="29AE3823">
      <w:pPr>
        <w:pStyle w:val="3"/>
        <w:rPr>
          <w:rFonts w:hint="eastAsia" w:ascii="仿宋_GB2312" w:hAnsi="仿宋_GB2312" w:cs="仿宋_GB2312"/>
          <w:sz w:val="32"/>
        </w:rPr>
      </w:pPr>
    </w:p>
    <w:p w14:paraId="7ABD31B1">
      <w:pPr>
        <w:pStyle w:val="3"/>
        <w:rPr>
          <w:rFonts w:hint="eastAsia" w:ascii="仿宋_GB2312" w:hAnsi="仿宋_GB2312" w:cs="仿宋_GB2312"/>
          <w:sz w:val="32"/>
        </w:rPr>
      </w:pPr>
      <w:r>
        <w:rPr>
          <w:rFonts w:hint="eastAsia" w:ascii="仿宋_GB2312" w:hAnsi="仿宋_GB2312" w:cs="仿宋_GB2312"/>
          <w:sz w:val="32"/>
        </w:rPr>
        <w:t xml:space="preserve">                                  区卫生健康委</w:t>
      </w:r>
    </w:p>
    <w:p w14:paraId="4A073965">
      <w:pPr>
        <w:pStyle w:val="3"/>
        <w:rPr>
          <w:rFonts w:hint="eastAsia" w:ascii="仿宋_GB2312" w:hAnsi="仿宋_GB2312" w:cs="仿宋_GB2312"/>
          <w:sz w:val="32"/>
        </w:rPr>
      </w:pPr>
      <w:r>
        <w:rPr>
          <w:rFonts w:hint="eastAsia" w:ascii="仿宋_GB2312" w:hAnsi="仿宋_GB2312" w:cs="仿宋_GB2312"/>
          <w:sz w:val="32"/>
        </w:rPr>
        <w:t xml:space="preserve">                                 </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cs="仿宋_GB2312"/>
          <w:sz w:val="32"/>
        </w:rPr>
        <w:t>日</w:t>
      </w:r>
    </w:p>
    <w:p w14:paraId="2A969D0C">
      <w:pPr>
        <w:pStyle w:val="3"/>
        <w:ind w:firstLine="632" w:firstLineChars="200"/>
        <w:rPr>
          <w:rFonts w:hint="eastAsia" w:ascii="仿宋_GB2312" w:hAnsi="仿宋_GB2312" w:cs="仿宋_GB2312"/>
          <w:sz w:val="32"/>
        </w:rPr>
      </w:pPr>
      <w:r>
        <w:rPr>
          <w:rFonts w:hint="eastAsia" w:ascii="仿宋_GB2312" w:hAnsi="仿宋_GB2312" w:cs="仿宋_GB2312"/>
          <w:sz w:val="32"/>
        </w:rPr>
        <w:t>（此件主动公开）</w:t>
      </w:r>
    </w:p>
    <w:p w14:paraId="0B2C62A6">
      <w:pPr>
        <w:pStyle w:val="3"/>
        <w:rPr>
          <w:rFonts w:hint="eastAsia" w:ascii="仿宋_GB2312" w:hAnsi="仿宋_GB2312" w:cs="仿宋_GB2312"/>
          <w:sz w:val="32"/>
        </w:rPr>
      </w:pPr>
    </w:p>
    <w:p w14:paraId="2034DA06">
      <w:pPr>
        <w:pStyle w:val="3"/>
        <w:rPr>
          <w:rFonts w:hint="eastAsia" w:ascii="仿宋_GB2312" w:hAnsi="仿宋_GB2312" w:cs="仿宋_GB2312"/>
          <w:sz w:val="32"/>
        </w:rPr>
      </w:pPr>
    </w:p>
    <w:p w14:paraId="373CF13C">
      <w:pPr>
        <w:pStyle w:val="3"/>
        <w:rPr>
          <w:rFonts w:hint="eastAsia" w:ascii="仿宋_GB2312" w:hAnsi="仿宋_GB2312" w:cs="仿宋_GB2312"/>
          <w:b/>
          <w:bCs/>
        </w:rPr>
      </w:pPr>
      <w:r>
        <w:rPr>
          <w:rFonts w:hint="eastAsia" w:ascii="仿宋_GB2312" w:hAnsi="仿宋_GB2312" w:cs="仿宋_GB2312"/>
          <w:sz w:val="32"/>
        </w:rPr>
        <w:t xml:space="preserve">                               </w:t>
      </w:r>
    </w:p>
    <w:p w14:paraId="5AD82A4D">
      <w:pPr>
        <w:spacing w:line="560" w:lineRule="exact"/>
        <w:ind w:firstLine="436" w:firstLineChars="100"/>
        <w:rPr>
          <w:rFonts w:eastAsia="方正小标宋简体" w:cs="Times New Roman"/>
          <w:sz w:val="44"/>
          <w:szCs w:val="44"/>
        </w:rPr>
      </w:pPr>
      <w:r>
        <w:rPr>
          <w:rFonts w:hint="eastAsia" w:eastAsia="方正小标宋简体" w:cs="Times New Roman"/>
          <w:sz w:val="44"/>
          <w:szCs w:val="44"/>
        </w:rPr>
        <w:t>滨海新区民营医疗机构依法执业规范诊疗</w:t>
      </w:r>
    </w:p>
    <w:p w14:paraId="2C7E5167">
      <w:pPr>
        <w:spacing w:line="560" w:lineRule="exact"/>
        <w:ind w:firstLine="2616" w:firstLineChars="600"/>
        <w:rPr>
          <w:rFonts w:eastAsia="方正小标宋简体" w:cs="Times New Roman"/>
          <w:sz w:val="44"/>
          <w:szCs w:val="44"/>
        </w:rPr>
      </w:pPr>
      <w:r>
        <w:rPr>
          <w:rFonts w:hint="eastAsia" w:eastAsia="方正小标宋简体" w:cs="Times New Roman"/>
          <w:sz w:val="44"/>
          <w:szCs w:val="44"/>
        </w:rPr>
        <w:t>专项检查工作方案</w:t>
      </w:r>
    </w:p>
    <w:p w14:paraId="54A5688C">
      <w:pPr>
        <w:pStyle w:val="3"/>
        <w:spacing w:line="560" w:lineRule="exact"/>
        <w:ind w:firstLine="632" w:firstLineChars="200"/>
        <w:jc w:val="both"/>
        <w:rPr>
          <w:rFonts w:hint="eastAsia" w:ascii="仿宋_GB2312" w:hAnsi="仿宋_GB2312" w:cs="仿宋_GB2312"/>
          <w:sz w:val="32"/>
        </w:rPr>
      </w:pPr>
    </w:p>
    <w:p w14:paraId="292D6DA6">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为全面贯彻落实党的二十大精神，规范民营医院发展，保障人民群众健康权益，维护良好医疗秩序，规范诊疗行为，推动滨海新区民营医疗机构依法执业、安全运行、规范发展，促进民营医疗机构提升服务能力和管理水平，实现民营医疗机构和公立医疗机构共同实现高质量发展，决定在滨海新区范围内开展民营医疗机构专项检查工作，特制定本方案：</w:t>
      </w:r>
    </w:p>
    <w:p w14:paraId="3B7400F7">
      <w:pPr>
        <w:pStyle w:val="3"/>
        <w:keepNext w:val="0"/>
        <w:keepLines w:val="0"/>
        <w:pageBreakBefore w:val="0"/>
        <w:widowControl w:val="0"/>
        <w:numPr>
          <w:ilvl w:val="0"/>
          <w:numId w:val="1"/>
        </w:numPr>
        <w:kinsoku/>
        <w:wordWrap/>
        <w:overflowPunct/>
        <w:topLinePunct w:val="0"/>
        <w:autoSpaceDE/>
        <w:autoSpaceDN/>
        <w:bidi w:val="0"/>
        <w:adjustRightInd/>
        <w:spacing w:line="578" w:lineRule="exact"/>
        <w:ind w:firstLine="632"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rPr>
        <w:t>指导思想</w:t>
      </w:r>
    </w:p>
    <w:p w14:paraId="0D5E6D02">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以习近平新时代中国特色社会主义思想为指导，推进健康中国战略和健康天津建设，引导民营医疗机构端正办医理念、强化内部管理，将民营医疗机构纳入全行业管理范围，促进民营医疗机构增进法治意识、提升依法依规管理水平、消除相关执业风险隐患，切实保障人民群众身体健康和生命安全。</w:t>
      </w:r>
    </w:p>
    <w:p w14:paraId="0147FCD2">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rPr>
        <w:t>二、工作目标</w:t>
      </w:r>
    </w:p>
    <w:p w14:paraId="04E1F2FB">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通过开展专项检查工作，切实做好各民营医疗机构从准入、退出、执业等方面全链条监管，不断健全监管机制,确保民营医疗机构落实主体责任，依法依规执业、规范诊疗行为，高效统筹发展和安全，坚守医疗质量安全底线，推动构建优质的医疗卫生服务体系。</w:t>
      </w:r>
    </w:p>
    <w:p w14:paraId="54526853">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lang w:eastAsia="zh-CN"/>
        </w:rPr>
        <w:t>三</w:t>
      </w:r>
      <w:r>
        <w:rPr>
          <w:rFonts w:hint="eastAsia" w:ascii="黑体" w:hAnsi="黑体" w:eastAsia="黑体" w:cs="黑体"/>
          <w:b w:val="0"/>
          <w:bCs w:val="0"/>
          <w:sz w:val="32"/>
        </w:rPr>
        <w:t>、工作内容</w:t>
      </w:r>
    </w:p>
    <w:p w14:paraId="22CAAE49">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（一）检查范围</w:t>
      </w:r>
    </w:p>
    <w:p w14:paraId="2BAB9D7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rPr>
        <w:t>.滨海新区范围内一级及以上民营医院全覆盖</w:t>
      </w:r>
      <w:r>
        <w:rPr>
          <w:rFonts w:hint="eastAsia" w:ascii="仿宋_GB2312" w:hAnsi="仿宋_GB2312" w:cs="仿宋_GB2312"/>
          <w:lang w:eastAsia="zh-CN"/>
        </w:rPr>
        <w:t>（附件</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lang w:val="en-US" w:eastAsia="zh-CN"/>
        </w:rPr>
        <w:t>）</w:t>
      </w:r>
      <w:r>
        <w:rPr>
          <w:rFonts w:hint="eastAsia" w:ascii="仿宋_GB2312" w:hAnsi="仿宋_GB2312" w:cs="仿宋_GB2312"/>
        </w:rPr>
        <w:t>、互联网医院全覆盖（互联网医院线上线下一起查）</w:t>
      </w:r>
      <w:r>
        <w:rPr>
          <w:rFonts w:hint="eastAsia" w:ascii="仿宋_GB2312" w:hAnsi="仿宋_GB2312" w:cs="仿宋_GB2312"/>
          <w:lang w:eastAsia="zh-CN"/>
        </w:rPr>
        <w:t>（附件</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cs="仿宋_GB2312"/>
          <w:lang w:val="en-US" w:eastAsia="zh-CN"/>
        </w:rPr>
        <w:t>）</w:t>
      </w:r>
      <w:r>
        <w:rPr>
          <w:rFonts w:hint="eastAsia" w:ascii="仿宋_GB2312" w:hAnsi="仿宋_GB2312" w:cs="仿宋_GB2312"/>
        </w:rPr>
        <w:t>、一级以下民营医疗机构抽查</w:t>
      </w:r>
      <w:r>
        <w:rPr>
          <w:rFonts w:hint="eastAsia" w:ascii="Times New Roman" w:hAnsi="Times New Roman" w:eastAsia="仿宋_GB2312" w:cs="Times New Roman"/>
          <w:kern w:val="2"/>
          <w:sz w:val="32"/>
          <w:szCs w:val="32"/>
          <w:lang w:val="en-US" w:eastAsia="zh-CN" w:bidi="ar-SA"/>
        </w:rPr>
        <w:t>30%</w:t>
      </w:r>
      <w:r>
        <w:rPr>
          <w:rFonts w:hint="eastAsia" w:ascii="仿宋_GB2312" w:hAnsi="仿宋_GB2312" w:cs="仿宋_GB2312"/>
          <w:lang w:eastAsia="zh-CN"/>
        </w:rPr>
        <w:t>（附件</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cs="仿宋_GB2312"/>
          <w:lang w:val="en-US" w:eastAsia="zh-CN"/>
        </w:rPr>
        <w:t>）</w:t>
      </w:r>
      <w:r>
        <w:rPr>
          <w:rFonts w:hint="eastAsia" w:ascii="仿宋_GB2312" w:hAnsi="仿宋_GB2312" w:cs="仿宋_GB2312"/>
        </w:rPr>
        <w:t>。</w:t>
      </w:r>
    </w:p>
    <w:p w14:paraId="72782601">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cs="仿宋_GB2312"/>
        </w:rPr>
        <w:t>.</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cs="仿宋_GB2312"/>
        </w:rPr>
        <w:t>年民营医院专项巡查行动“回头看”及</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rPr>
        <w:t>年</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rPr>
        <w:t>月开展的天津市规范民营医院发展专项行动中发现问题的单位（附件</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cs="仿宋_GB2312"/>
        </w:rPr>
        <w:t>）。</w:t>
      </w:r>
    </w:p>
    <w:p w14:paraId="66EDC50F">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（二）检查时间</w:t>
      </w:r>
    </w:p>
    <w:p w14:paraId="5DD67794">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自</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cs="仿宋_GB2312"/>
          <w:sz w:val="32"/>
        </w:rPr>
        <w:t>月至</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月为专项检查时间。其中机构自查时间:</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cs="仿宋_GB2312"/>
          <w:sz w:val="32"/>
        </w:rPr>
        <w:t>月至</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w:t>
      </w:r>
      <w:r>
        <w:rPr>
          <w:rFonts w:hint="eastAsia" w:ascii="仿宋_GB2312" w:hAnsi="仿宋_GB2312" w:cs="仿宋_GB2312"/>
          <w:sz w:val="32"/>
          <w:lang w:val="en-US" w:eastAsia="zh-CN"/>
        </w:rPr>
        <w:t>上旬</w:t>
      </w:r>
      <w:r>
        <w:rPr>
          <w:rFonts w:hint="eastAsia" w:ascii="仿宋_GB2312" w:hAnsi="仿宋_GB2312" w:cs="仿宋_GB2312"/>
          <w:sz w:val="32"/>
        </w:rPr>
        <w:t>。区卫生健康委检查时间：</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w:t>
      </w:r>
      <w:r>
        <w:rPr>
          <w:rFonts w:hint="eastAsia" w:ascii="仿宋_GB2312" w:hAnsi="仿宋_GB2312" w:cs="仿宋_GB2312"/>
          <w:sz w:val="32"/>
          <w:lang w:val="en-US" w:eastAsia="zh-CN"/>
        </w:rPr>
        <w:t>上旬</w:t>
      </w:r>
      <w:r>
        <w:rPr>
          <w:rFonts w:hint="eastAsia" w:ascii="仿宋_GB2312" w:hAnsi="仿宋_GB2312" w:cs="仿宋_GB2312"/>
          <w:sz w:val="32"/>
        </w:rPr>
        <w:t>至</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w:t>
      </w:r>
      <w:r>
        <w:rPr>
          <w:rFonts w:hint="eastAsia" w:ascii="仿宋_GB2312" w:hAnsi="仿宋_GB2312" w:cs="仿宋_GB2312"/>
          <w:sz w:val="32"/>
          <w:lang w:val="en-US" w:eastAsia="zh-CN"/>
        </w:rPr>
        <w:t>中旬</w:t>
      </w:r>
      <w:r>
        <w:rPr>
          <w:rFonts w:hint="eastAsia" w:ascii="仿宋_GB2312" w:hAnsi="仿宋_GB2312" w:cs="仿宋_GB2312"/>
          <w:sz w:val="32"/>
        </w:rPr>
        <w:t>。</w:t>
      </w:r>
    </w:p>
    <w:p w14:paraId="7462FE0E">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（三）检查方式</w:t>
      </w:r>
    </w:p>
    <w:p w14:paraId="5AE33782">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区卫生健康委</w:t>
      </w:r>
      <w:r>
        <w:rPr>
          <w:rFonts w:hint="eastAsia" w:ascii="仿宋_GB2312" w:hAnsi="仿宋_GB2312" w:cs="仿宋_GB2312"/>
          <w:sz w:val="32"/>
          <w:lang w:eastAsia="zh-CN"/>
        </w:rPr>
        <w:t>组建质控专家组、基层卫生专家组、执法监督专家组进行检查，检查</w:t>
      </w:r>
      <w:r>
        <w:rPr>
          <w:rFonts w:hint="eastAsia" w:ascii="仿宋_GB2312" w:hAnsi="仿宋_GB2312" w:cs="仿宋_GB2312"/>
          <w:sz w:val="32"/>
        </w:rPr>
        <w:t>采取实地查看、查阅资料、调查访谈、线索追踪或暗访等方式进行。</w:t>
      </w:r>
    </w:p>
    <w:p w14:paraId="22FAFA86">
      <w:pPr>
        <w:keepNext w:val="0"/>
        <w:keepLines w:val="0"/>
        <w:pageBreakBefore w:val="0"/>
        <w:widowControl w:val="0"/>
        <w:numPr>
          <w:ilvl w:val="0"/>
          <w:numId w:val="2"/>
        </w:numPr>
        <w:kinsoku/>
        <w:wordWrap/>
        <w:overflowPunct/>
        <w:topLinePunct w:val="0"/>
        <w:autoSpaceDE/>
        <w:autoSpaceDN/>
        <w:bidi w:val="0"/>
        <w:adjustRightInd/>
        <w:spacing w:line="578" w:lineRule="exact"/>
        <w:ind w:firstLine="632"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重点检查内容</w:t>
      </w:r>
    </w:p>
    <w:p w14:paraId="32CBB4FE">
      <w:pPr>
        <w:pStyle w:val="3"/>
        <w:keepNext w:val="0"/>
        <w:keepLines w:val="0"/>
        <w:pageBreakBefore w:val="0"/>
        <w:widowControl w:val="0"/>
        <w:kinsoku/>
        <w:wordWrap/>
        <w:overflowPunct/>
        <w:topLinePunct w:val="0"/>
        <w:autoSpaceDE/>
        <w:autoSpaceDN/>
        <w:bidi w:val="0"/>
        <w:adjustRightInd/>
        <w:snapToGrid w:val="0"/>
        <w:spacing w:line="578" w:lineRule="exact"/>
        <w:ind w:firstLine="352" w:firstLineChars="200"/>
        <w:jc w:val="both"/>
        <w:textAlignment w:val="auto"/>
        <w:rPr>
          <w:rFonts w:hint="eastAsia" w:ascii="仿宋_GB2312" w:hAnsi="仿宋_GB2312" w:cs="仿宋_GB2312"/>
          <w:sz w:val="32"/>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楷体_GB2312" w:cs="楷体_GB2312"/>
          <w:snapToGrid w:val="0"/>
          <w:kern w:val="0"/>
          <w:sz w:val="32"/>
          <w14:ligatures w14:val="standardContextual"/>
        </w:rPr>
        <w:t>.</w:t>
      </w:r>
      <w:r>
        <w:rPr>
          <w:rFonts w:hint="eastAsia" w:ascii="仿宋_GB2312" w:hAnsi="仿宋_GB2312" w:cs="仿宋_GB2312"/>
          <w:b/>
          <w:bCs/>
          <w:sz w:val="32"/>
        </w:rPr>
        <w:t>是否符合医疗机构基本标准。</w:t>
      </w:r>
      <w:r>
        <w:rPr>
          <w:rFonts w:hint="eastAsia" w:ascii="仿宋_GB2312" w:hAnsi="仿宋_GB2312" w:cs="仿宋_GB2312"/>
          <w:sz w:val="32"/>
        </w:rPr>
        <w:t>重点检查医疗机构科室设置、住院病房设置、卫生技术人员配备是否符合《医疗机构基本标准（试行）》要求。（执法监督室负责）。</w:t>
      </w:r>
    </w:p>
    <w:p w14:paraId="51710E3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仿宋_GB2312" w:hAnsi="仿宋_GB2312" w:cs="仿宋_GB2312"/>
          <w:b/>
          <w:bCs/>
        </w:rPr>
        <w:t>2.医疗机构依法执业情况。</w:t>
      </w:r>
      <w:r>
        <w:rPr>
          <w:rFonts w:hint="eastAsia" w:ascii="仿宋_GB2312" w:hAnsi="仿宋_GB2312" w:cs="仿宋_GB2312"/>
        </w:rPr>
        <w:t>重点检查医疗机构名称使用是否规范；是否超出登记诊疗科目范围从事诊疗活动；是否使用非卫生技术人员从事医疗卫生技术工作；是否存在使用卫生技术人员从事本专业以外的诊疗活动；实际开放住院床位数量超出登记床位数量是否按照规定办理变更手续等。（执法监督室负责）。</w:t>
      </w:r>
    </w:p>
    <w:p w14:paraId="1805082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cs="仿宋_GB2312"/>
          <w:b/>
          <w:bCs/>
        </w:rPr>
        <w:t>.是否落实医疗质量管理要求。</w:t>
      </w:r>
      <w:r>
        <w:rPr>
          <w:rFonts w:hint="eastAsia" w:ascii="仿宋_GB2312" w:hAnsi="仿宋_GB2312" w:cs="仿宋_GB2312"/>
        </w:rPr>
        <w:t>重点检查医疗质量管理和医疗技术管理制度是否健全；是否执行医疗质量安全管理核心制度；是否制定并完善本机构医疗技术临床应用管理目录；限制类技术临床应用是否符合管理要求（自我评估、备案、信息报告）；是否开展禁止类技术临床应用。（医政医管室、基层卫生室依职负责）</w:t>
      </w:r>
    </w:p>
    <w:p w14:paraId="7A5DA97B">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cs="仿宋_GB2312"/>
          <w:b/>
          <w:bCs/>
        </w:rPr>
        <w:t>.是否存在不合理诊疗行为。</w:t>
      </w:r>
      <w:r>
        <w:rPr>
          <w:rFonts w:hint="eastAsia" w:ascii="仿宋_GB2312" w:hAnsi="仿宋_GB2312" w:cs="仿宋_GB2312"/>
        </w:rPr>
        <w:t>主要是违反诊疗规范标准，实施不合理诊疗、不合理检查检验行为。重点检查住院治疗指征，手术治疗指征及诊疗行为，使用设备实施的治疗性操作，基因检测，套餐式检验等是否符合规范。（医政医管室、基层卫生室依职负责）</w:t>
      </w:r>
    </w:p>
    <w:p w14:paraId="04B251D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cs="仿宋_GB2312"/>
          <w:b/>
          <w:bCs/>
        </w:rPr>
        <w:t>.是否存在违规用药行为。</w:t>
      </w:r>
      <w:r>
        <w:rPr>
          <w:rFonts w:hint="eastAsia" w:ascii="仿宋_GB2312" w:hAnsi="仿宋_GB2312" w:cs="仿宋_GB2312"/>
        </w:rPr>
        <w:t>主要是超出适应症、超出用法用量用药等超出说明书用药行为，违规联合用药，违反医保政策违规重复开具同种同类药品等行为。重点检查糖尿病、偏瘫、高血压、肿瘤等慢性病药品，抗菌药物、麻精药品等用药行为。（医政医管室、基层卫生室依职负责）</w:t>
      </w:r>
    </w:p>
    <w:p w14:paraId="7F09D67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6</w:t>
      </w:r>
      <w:r>
        <w:rPr>
          <w:rFonts w:hint="eastAsia" w:ascii="仿宋_GB2312" w:hAnsi="仿宋_GB2312" w:cs="仿宋_GB2312"/>
          <w:b/>
          <w:bCs/>
        </w:rPr>
        <w:t>.是否存在诱导群众就医行为。</w:t>
      </w:r>
      <w:r>
        <w:rPr>
          <w:rFonts w:hint="eastAsia" w:ascii="仿宋_GB2312" w:hAnsi="仿宋_GB2312" w:cs="仿宋_GB2312"/>
        </w:rPr>
        <w:t>主要是以免费检查、治疗等名义诱导老年人等患者，对其实施非医学需要的住院治疗、手术治疗等行为。</w:t>
      </w:r>
      <w:bookmarkStart w:id="0" w:name="_Hlk173357523"/>
      <w:r>
        <w:rPr>
          <w:rFonts w:hint="eastAsia" w:ascii="仿宋_GB2312" w:hAnsi="仿宋_GB2312" w:cs="仿宋_GB2312"/>
        </w:rPr>
        <w:t>（医政医管室、基层卫生室、执法监督室依职负责）</w:t>
      </w:r>
    </w:p>
    <w:bookmarkEnd w:id="0"/>
    <w:p w14:paraId="36412FF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7</w:t>
      </w:r>
      <w:r>
        <w:rPr>
          <w:rFonts w:hint="eastAsia" w:ascii="仿宋_GB2312" w:hAnsi="仿宋_GB2312" w:cs="仿宋_GB2312"/>
          <w:b/>
          <w:bCs/>
        </w:rPr>
        <w:t>.是否存在虚增诊疗服务行为。</w:t>
      </w:r>
      <w:r>
        <w:rPr>
          <w:rFonts w:hint="eastAsia" w:ascii="仿宋_GB2312" w:hAnsi="仿宋_GB2312" w:cs="仿宋_GB2312"/>
        </w:rPr>
        <w:t>主要是在实施诊疗过程中，虚构服务内容项目，开具医嘱、处方等，但未实际提供相应诊疗服务行为。（医政医管室、基层卫生室依职负责）</w:t>
      </w:r>
    </w:p>
    <w:p w14:paraId="0ECF7A86">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b/>
          <w:bCs/>
        </w:rPr>
        <w:t>.是否存在伪医学文书行为。</w:t>
      </w:r>
      <w:r>
        <w:rPr>
          <w:rFonts w:hint="eastAsia" w:ascii="仿宋_GB2312" w:hAnsi="仿宋_GB2312" w:cs="仿宋_GB2312"/>
        </w:rPr>
        <w:t>主要是虚构患者、虚构病情，伪造病历、诊断证明等医学文书行为。重点检查住院治疗“挂空床”等问题。（医政医管室、基层卫生室依职负责）</w:t>
      </w:r>
    </w:p>
    <w:p w14:paraId="4BDC91A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9</w:t>
      </w:r>
      <w:r>
        <w:rPr>
          <w:rFonts w:hint="eastAsia" w:ascii="仿宋_GB2312" w:hAnsi="仿宋_GB2312" w:cs="仿宋_GB2312"/>
          <w:b/>
          <w:bCs/>
        </w:rPr>
        <w:t>.医师管理是否符合规范要求。</w:t>
      </w:r>
      <w:r>
        <w:rPr>
          <w:rFonts w:hint="eastAsia" w:ascii="仿宋_GB2312" w:hAnsi="仿宋_GB2312" w:cs="仿宋_GB2312"/>
        </w:rPr>
        <w:t>重点检查是否为医师建立医疗技术临床应用管理档案；开展手术是否按照规定授予手术权限；多机构执业医师是否按规定办理备案手续；是否存在冒用其他医师名义开展诊疗活动等行为。（医政医管室、基层卫生室依职负责）</w:t>
      </w:r>
    </w:p>
    <w:p w14:paraId="489D5A6F">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10.</w:t>
      </w:r>
      <w:r>
        <w:rPr>
          <w:rFonts w:hint="eastAsia" w:ascii="仿宋_GB2312" w:hAnsi="仿宋_GB2312" w:cs="仿宋_GB2312"/>
          <w:b/>
          <w:bCs/>
        </w:rPr>
        <w:t>是否存在强制诊疗行为。</w:t>
      </w:r>
      <w:r>
        <w:rPr>
          <w:rFonts w:hint="eastAsia" w:ascii="仿宋_GB2312" w:hAnsi="仿宋_GB2312" w:cs="仿宋_GB2312"/>
        </w:rPr>
        <w:t>主要是手术、操作性治疗违反“知情同意”规定临时强制加价行为。重点检查泌尿外、妇科等隐私性较强诊疗服务。</w:t>
      </w:r>
      <w:bookmarkStart w:id="1" w:name="_Hlk173357517"/>
      <w:r>
        <w:rPr>
          <w:rFonts w:hint="eastAsia" w:ascii="仿宋_GB2312" w:hAnsi="仿宋_GB2312" w:cs="仿宋_GB2312"/>
        </w:rPr>
        <w:t>（医政医管室、基层卫生室依职负责）</w:t>
      </w:r>
      <w:bookmarkEnd w:id="1"/>
    </w:p>
    <w:p w14:paraId="0E62051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cs="仿宋_GB2312"/>
        </w:rPr>
      </w:pPr>
      <w:r>
        <w:rPr>
          <w:rFonts w:hint="eastAsia" w:ascii="Times New Roman" w:hAnsi="Times New Roman" w:eastAsia="仿宋_GB2312" w:cs="Times New Roman"/>
          <w:kern w:val="2"/>
          <w:sz w:val="32"/>
          <w:szCs w:val="32"/>
          <w:lang w:val="en-US" w:eastAsia="zh-CN" w:bidi="ar-SA"/>
        </w:rPr>
        <w:t>11</w:t>
      </w:r>
      <w:r>
        <w:rPr>
          <w:rFonts w:hint="eastAsia" w:ascii="仿宋_GB2312" w:hAnsi="仿宋_GB2312" w:cs="仿宋_GB2312"/>
          <w:b/>
          <w:bCs/>
        </w:rPr>
        <w:t>.是否存在资金运转风险。</w:t>
      </w:r>
      <w:r>
        <w:rPr>
          <w:rFonts w:hint="eastAsia" w:ascii="仿宋_GB2312" w:hAnsi="仿宋_GB2312" w:cs="仿宋_GB2312"/>
        </w:rPr>
        <w:t>主要排查有口腔、医疗美容专业的医疗机构，是否有预充值会员制等情况，是否存在资金链条断裂风险。（医政医管室、基层卫生室、执法监督室依职负责）</w:t>
      </w:r>
    </w:p>
    <w:p w14:paraId="3402300C">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ascii="Times New Roman" w:hAnsi="Times New Roman" w:cs="仿宋_GB2312"/>
          <w:b w:val="0"/>
          <w:bCs w:val="0"/>
          <w:snapToGrid w:val="0"/>
          <w:kern w:val="0"/>
          <w14:ligatures w14:val="standardContextual"/>
        </w:rPr>
      </w:pPr>
      <w:r>
        <w:rPr>
          <w:rFonts w:hint="eastAsia" w:ascii="黑体" w:hAnsi="黑体" w:eastAsia="黑体" w:cs="黑体"/>
          <w:b w:val="0"/>
          <w:bCs w:val="0"/>
          <w:lang w:eastAsia="zh-CN"/>
        </w:rPr>
        <w:t>四、</w:t>
      </w:r>
      <w:r>
        <w:rPr>
          <w:rFonts w:hint="eastAsia" w:ascii="黑体" w:hAnsi="黑体" w:eastAsia="黑体" w:cs="黑体"/>
          <w:b w:val="0"/>
          <w:bCs w:val="0"/>
        </w:rPr>
        <w:t>组织实施</w:t>
      </w:r>
    </w:p>
    <w:p w14:paraId="2C0404D2">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val="0"/>
          <w:bCs w:val="0"/>
          <w:snapToGrid w:val="0"/>
          <w:kern w:val="0"/>
          <w:sz w:val="32"/>
          <w14:ligatures w14:val="standardContextual"/>
        </w:rPr>
      </w:pPr>
      <w:r>
        <w:rPr>
          <w:rFonts w:hint="eastAsia" w:ascii="楷体_GB2312" w:hAnsi="楷体_GB2312" w:eastAsia="楷体_GB2312" w:cs="楷体_GB2312"/>
          <w:b w:val="0"/>
          <w:bCs w:val="0"/>
          <w:snapToGrid w:val="0"/>
          <w:kern w:val="0"/>
          <w:sz w:val="32"/>
          <w14:ligatures w14:val="standardContextual"/>
        </w:rPr>
        <w:t>（一）工作部署阶段（</w:t>
      </w:r>
      <w:r>
        <w:rPr>
          <w:rFonts w:hint="eastAsia" w:ascii="楷体_GB2312" w:hAnsi="楷体_GB2312" w:eastAsia="楷体_GB2312" w:cs="楷体_GB2312"/>
          <w:b w:val="0"/>
          <w:bCs w:val="0"/>
          <w:kern w:val="2"/>
          <w:sz w:val="32"/>
          <w:szCs w:val="32"/>
          <w:lang w:val="en-US" w:eastAsia="zh-CN" w:bidi="ar-SA"/>
        </w:rPr>
        <w:t>2024</w:t>
      </w:r>
      <w:r>
        <w:rPr>
          <w:rFonts w:hint="eastAsia" w:ascii="楷体_GB2312" w:hAnsi="楷体_GB2312" w:eastAsia="楷体_GB2312" w:cs="楷体_GB2312"/>
          <w:b w:val="0"/>
          <w:bCs w:val="0"/>
          <w:snapToGrid w:val="0"/>
          <w:kern w:val="0"/>
          <w:sz w:val="32"/>
          <w14:ligatures w14:val="standardContextual"/>
        </w:rPr>
        <w:t>年</w:t>
      </w:r>
      <w:r>
        <w:rPr>
          <w:rFonts w:hint="eastAsia" w:ascii="楷体_GB2312" w:hAnsi="楷体_GB2312" w:eastAsia="楷体_GB2312" w:cs="楷体_GB2312"/>
          <w:b w:val="0"/>
          <w:bCs w:val="0"/>
          <w:kern w:val="2"/>
          <w:sz w:val="32"/>
          <w:szCs w:val="32"/>
          <w:lang w:val="en-US" w:eastAsia="zh-CN" w:bidi="ar-SA"/>
        </w:rPr>
        <w:t>7</w:t>
      </w:r>
      <w:r>
        <w:rPr>
          <w:rFonts w:hint="eastAsia" w:ascii="楷体_GB2312" w:hAnsi="楷体_GB2312" w:eastAsia="楷体_GB2312" w:cs="楷体_GB2312"/>
          <w:b w:val="0"/>
          <w:bCs w:val="0"/>
          <w:snapToGrid w:val="0"/>
          <w:kern w:val="0"/>
          <w:sz w:val="32"/>
          <w14:ligatures w14:val="standardContextual"/>
        </w:rPr>
        <w:t>月）</w:t>
      </w:r>
    </w:p>
    <w:p w14:paraId="7902F22D">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eastAsia="仿宋_GB2312" w:cs="仿宋_GB2312"/>
          <w:snapToGrid w:val="0"/>
          <w:kern w:val="0"/>
          <w:sz w:val="32"/>
          <w:szCs w:val="32"/>
          <w:lang w:val="en-US" w:eastAsia="zh-CN" w:bidi="ar-SA"/>
          <w14:ligatures w14:val="standardContextual"/>
        </w:rPr>
      </w:pPr>
      <w:r>
        <w:rPr>
          <w:rFonts w:hint="eastAsia" w:ascii="仿宋_GB2312" w:hAnsi="仿宋_GB2312" w:eastAsia="仿宋_GB2312" w:cs="仿宋_GB2312"/>
          <w:snapToGrid w:val="0"/>
          <w:kern w:val="0"/>
          <w:sz w:val="32"/>
          <w:szCs w:val="32"/>
          <w:lang w:val="en-US" w:eastAsia="zh-CN" w:bidi="ar-SA"/>
          <w14:ligatures w14:val="standardContextual"/>
        </w:rPr>
        <w:t>区卫生健康委制定专项检查工作方案并召开工作部署会议。各民营医疗机构、互联网医院要按照区卫生健康委的工作部署，细化本单位具体实施方案并组织召开单位内工作部署会，抓好工作落实。请各单位于</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snapToGrid w:val="0"/>
          <w:kern w:val="0"/>
          <w:sz w:val="32"/>
          <w:szCs w:val="32"/>
          <w:lang w:val="en-US" w:eastAsia="zh-CN" w:bidi="ar-SA"/>
          <w14:ligatures w14:val="standardContextual"/>
        </w:rPr>
        <w:t>月</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snapToGrid w:val="0"/>
          <w:kern w:val="0"/>
          <w:sz w:val="32"/>
          <w:szCs w:val="32"/>
          <w:lang w:val="en-US" w:eastAsia="zh-CN" w:bidi="ar-SA"/>
          <w14:ligatures w14:val="standardContextual"/>
        </w:rPr>
        <w:t>日前将实施方案及联络员信息报送至区卫生健康委（其中，一级及以上民营医院、</w:t>
      </w:r>
      <w:r>
        <w:rPr>
          <w:rFonts w:hint="eastAsia" w:ascii="仿宋_GB2312" w:hAnsi="仿宋_GB2312" w:eastAsia="仿宋_GB2312" w:cs="仿宋_GB2312"/>
          <w:snapToGrid w:val="0"/>
          <w:kern w:val="0"/>
          <w:sz w:val="32"/>
          <w:szCs w:val="32"/>
          <w:lang w:val="en-US" w:eastAsia="zh-CN" w:bidi="ar-SA"/>
          <w14:ligatures w14:val="standardContextual"/>
        </w:rPr>
        <w:fldChar w:fldCharType="begin"/>
      </w:r>
      <w:r>
        <w:rPr>
          <w:rFonts w:hint="eastAsia" w:ascii="仿宋_GB2312" w:hAnsi="仿宋_GB2312" w:eastAsia="仿宋_GB2312" w:cs="仿宋_GB2312"/>
          <w:snapToGrid w:val="0"/>
          <w:kern w:val="0"/>
          <w:sz w:val="32"/>
          <w:szCs w:val="32"/>
          <w:lang w:val="en-US" w:eastAsia="zh-CN" w:bidi="ar-SA"/>
          <w14:ligatures w14:val="standardContextual"/>
        </w:rPr>
        <w:instrText xml:space="preserve"> HYPERLINK "mailto:互联网医院报送至医政医管室政务邮箱bhwjwyzc@tj.gov.cn" </w:instrText>
      </w:r>
      <w:r>
        <w:rPr>
          <w:rFonts w:hint="eastAsia" w:ascii="仿宋_GB2312" w:hAnsi="仿宋_GB2312" w:eastAsia="仿宋_GB2312" w:cs="仿宋_GB2312"/>
          <w:snapToGrid w:val="0"/>
          <w:kern w:val="0"/>
          <w:sz w:val="32"/>
          <w:szCs w:val="32"/>
          <w:lang w:val="en-US" w:eastAsia="zh-CN" w:bidi="ar-SA"/>
          <w14:ligatures w14:val="standardContextual"/>
        </w:rPr>
        <w:fldChar w:fldCharType="separate"/>
      </w:r>
      <w:r>
        <w:rPr>
          <w:rFonts w:hint="eastAsia" w:ascii="仿宋_GB2312" w:hAnsi="仿宋_GB2312" w:eastAsia="仿宋_GB2312" w:cs="仿宋_GB2312"/>
          <w:snapToGrid w:val="0"/>
          <w:kern w:val="0"/>
          <w:sz w:val="32"/>
          <w:szCs w:val="32"/>
          <w:lang w:val="en-US" w:eastAsia="zh-CN" w:bidi="ar-SA"/>
          <w14:ligatures w14:val="standardContextual"/>
        </w:rPr>
        <w:t>互联网医院报送至医政医管室政务邮箱</w:t>
      </w:r>
      <w:r>
        <w:rPr>
          <w:rFonts w:hint="default" w:ascii="Times New Roman" w:hAnsi="Times New Roman" w:eastAsia="仿宋_GB2312" w:cs="Times New Roman"/>
          <w:snapToGrid w:val="0"/>
          <w:kern w:val="0"/>
          <w:sz w:val="32"/>
          <w:szCs w:val="32"/>
          <w:lang w:val="en-US" w:eastAsia="zh-CN" w:bidi="ar-SA"/>
          <w14:ligatures w14:val="standardContextual"/>
        </w:rPr>
        <w:t>bhwjwyzc@tj.gov.cn</w:t>
      </w:r>
      <w:r>
        <w:rPr>
          <w:rFonts w:hint="eastAsia" w:ascii="仿宋_GB2312" w:hAnsi="仿宋_GB2312" w:eastAsia="仿宋_GB2312" w:cs="仿宋_GB2312"/>
          <w:snapToGrid w:val="0"/>
          <w:kern w:val="0"/>
          <w:sz w:val="32"/>
          <w:szCs w:val="32"/>
          <w:lang w:val="en-US" w:eastAsia="zh-CN" w:bidi="ar-SA"/>
          <w14:ligatures w14:val="standardContextual"/>
        </w:rPr>
        <w:fldChar w:fldCharType="end"/>
      </w:r>
      <w:r>
        <w:rPr>
          <w:rFonts w:hint="eastAsia" w:ascii="仿宋_GB2312" w:hAnsi="仿宋_GB2312" w:eastAsia="仿宋_GB2312" w:cs="仿宋_GB2312"/>
          <w:snapToGrid w:val="0"/>
          <w:kern w:val="0"/>
          <w:sz w:val="32"/>
          <w:szCs w:val="32"/>
          <w:lang w:val="en-US" w:eastAsia="zh-CN" w:bidi="ar-SA"/>
          <w14:ligatures w14:val="standardContextual"/>
        </w:rPr>
        <w:t>；</w:t>
      </w:r>
      <w:r>
        <w:rPr>
          <w:rFonts w:hint="eastAsia" w:ascii="仿宋_GB2312" w:hAnsi="仿宋_GB2312" w:eastAsia="仿宋_GB2312" w:cs="仿宋_GB2312"/>
          <w:snapToGrid w:val="0"/>
          <w:kern w:val="0"/>
          <w:sz w:val="32"/>
          <w:szCs w:val="32"/>
          <w:lang w:val="en-US" w:eastAsia="zh-CN" w:bidi="ar-SA"/>
          <w14:ligatures w14:val="standardContextual"/>
        </w:rPr>
        <w:fldChar w:fldCharType="begin"/>
      </w:r>
      <w:r>
        <w:rPr>
          <w:rFonts w:hint="eastAsia" w:ascii="仿宋_GB2312" w:hAnsi="仿宋_GB2312" w:eastAsia="仿宋_GB2312" w:cs="仿宋_GB2312"/>
          <w:snapToGrid w:val="0"/>
          <w:kern w:val="0"/>
          <w:sz w:val="32"/>
          <w:szCs w:val="32"/>
          <w:lang w:val="en-US" w:eastAsia="zh-CN" w:bidi="ar-SA"/>
          <w14:ligatures w14:val="standardContextual"/>
        </w:rPr>
        <w:instrText xml:space="preserve"> HYPERLINK "mailto:一级以下民营医疗机构报送至基层卫生室政务邮箱bhwjwjcwss@tj.gov.cn" </w:instrText>
      </w:r>
      <w:r>
        <w:rPr>
          <w:rFonts w:hint="eastAsia" w:ascii="仿宋_GB2312" w:hAnsi="仿宋_GB2312" w:eastAsia="仿宋_GB2312" w:cs="仿宋_GB2312"/>
          <w:snapToGrid w:val="0"/>
          <w:kern w:val="0"/>
          <w:sz w:val="32"/>
          <w:szCs w:val="32"/>
          <w:lang w:val="en-US" w:eastAsia="zh-CN" w:bidi="ar-SA"/>
          <w14:ligatures w14:val="standardContextual"/>
        </w:rPr>
        <w:fldChar w:fldCharType="separate"/>
      </w:r>
      <w:r>
        <w:rPr>
          <w:rFonts w:hint="eastAsia" w:ascii="仿宋_GB2312" w:hAnsi="仿宋_GB2312" w:eastAsia="仿宋_GB2312" w:cs="仿宋_GB2312"/>
          <w:snapToGrid w:val="0"/>
          <w:kern w:val="0"/>
          <w:sz w:val="32"/>
          <w:szCs w:val="32"/>
          <w:lang w:val="en-US" w:eastAsia="zh-CN" w:bidi="ar-SA"/>
          <w14:ligatures w14:val="standardContextual"/>
        </w:rPr>
        <w:t>一级以下民营医疗机构报送至基层卫生室政务邮箱</w:t>
      </w:r>
      <w:r>
        <w:rPr>
          <w:rFonts w:hint="default" w:ascii="Times New Roman" w:hAnsi="Times New Roman" w:eastAsia="仿宋_GB2312" w:cs="Times New Roman"/>
          <w:snapToGrid w:val="0"/>
          <w:kern w:val="0"/>
          <w:sz w:val="32"/>
          <w:szCs w:val="32"/>
          <w:lang w:val="en-US" w:eastAsia="zh-CN" w:bidi="ar-SA"/>
          <w14:ligatures w14:val="standardContextual"/>
        </w:rPr>
        <w:t>bhwjwjcwss@tj.gov.cn</w:t>
      </w:r>
      <w:r>
        <w:rPr>
          <w:rFonts w:hint="eastAsia" w:ascii="仿宋_GB2312" w:hAnsi="仿宋_GB2312" w:eastAsia="仿宋_GB2312" w:cs="仿宋_GB2312"/>
          <w:snapToGrid w:val="0"/>
          <w:kern w:val="0"/>
          <w:sz w:val="32"/>
          <w:szCs w:val="32"/>
          <w:lang w:val="en-US" w:eastAsia="zh-CN" w:bidi="ar-SA"/>
          <w14:ligatures w14:val="standardContextual"/>
        </w:rPr>
        <w:fldChar w:fldCharType="end"/>
      </w:r>
      <w:r>
        <w:rPr>
          <w:rFonts w:hint="eastAsia" w:ascii="仿宋_GB2312" w:hAnsi="仿宋_GB2312" w:eastAsia="仿宋_GB2312" w:cs="仿宋_GB2312"/>
          <w:snapToGrid w:val="0"/>
          <w:kern w:val="0"/>
          <w:sz w:val="32"/>
          <w:szCs w:val="32"/>
          <w:lang w:val="en-US" w:eastAsia="zh-CN" w:bidi="ar-SA"/>
          <w14:ligatures w14:val="standardContextual"/>
        </w:rPr>
        <w:t>）。</w:t>
      </w:r>
    </w:p>
    <w:p w14:paraId="32841D4C">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bCs/>
          <w:snapToGrid w:val="0"/>
          <w:kern w:val="0"/>
          <w:sz w:val="32"/>
          <w14:ligatures w14:val="standardContextual"/>
        </w:rPr>
      </w:pPr>
      <w:r>
        <w:rPr>
          <w:rFonts w:hint="eastAsia" w:ascii="楷体_GB2312" w:hAnsi="楷体_GB2312" w:eastAsia="楷体_GB2312" w:cs="楷体_GB2312"/>
          <w:b w:val="0"/>
          <w:bCs w:val="0"/>
          <w:snapToGrid w:val="0"/>
          <w:kern w:val="0"/>
          <w:sz w:val="32"/>
          <w14:ligatures w14:val="standardContextual"/>
        </w:rPr>
        <w:t>（二）工作实施阶段 （</w:t>
      </w:r>
      <w:r>
        <w:rPr>
          <w:rFonts w:hint="eastAsia" w:ascii="楷体_GB2312" w:hAnsi="楷体_GB2312" w:eastAsia="楷体_GB2312" w:cs="楷体_GB2312"/>
          <w:b w:val="0"/>
          <w:bCs w:val="0"/>
          <w:kern w:val="2"/>
          <w:sz w:val="32"/>
          <w:szCs w:val="32"/>
          <w:lang w:val="en-US" w:eastAsia="zh-CN" w:bidi="ar-SA"/>
        </w:rPr>
        <w:t>2024</w:t>
      </w:r>
      <w:r>
        <w:rPr>
          <w:rFonts w:hint="eastAsia" w:ascii="楷体_GB2312" w:hAnsi="楷体_GB2312" w:eastAsia="楷体_GB2312" w:cs="楷体_GB2312"/>
          <w:b w:val="0"/>
          <w:bCs w:val="0"/>
          <w:snapToGrid w:val="0"/>
          <w:kern w:val="0"/>
          <w:sz w:val="32"/>
          <w14:ligatures w14:val="standardContextual"/>
        </w:rPr>
        <w:t>年</w:t>
      </w:r>
      <w:r>
        <w:rPr>
          <w:rFonts w:hint="eastAsia" w:ascii="楷体_GB2312" w:hAnsi="楷体_GB2312" w:eastAsia="楷体_GB2312" w:cs="楷体_GB2312"/>
          <w:b w:val="0"/>
          <w:bCs w:val="0"/>
          <w:kern w:val="2"/>
          <w:sz w:val="32"/>
          <w:szCs w:val="32"/>
          <w:lang w:val="en-US" w:eastAsia="zh-CN" w:bidi="ar-SA"/>
        </w:rPr>
        <w:t>7</w:t>
      </w:r>
      <w:r>
        <w:rPr>
          <w:rFonts w:hint="eastAsia" w:ascii="楷体_GB2312" w:hAnsi="楷体_GB2312" w:eastAsia="楷体_GB2312" w:cs="楷体_GB2312"/>
          <w:b w:val="0"/>
          <w:bCs w:val="0"/>
          <w:snapToGrid w:val="0"/>
          <w:kern w:val="0"/>
          <w:sz w:val="32"/>
          <w14:ligatures w14:val="standardContextual"/>
        </w:rPr>
        <w:t>月至</w:t>
      </w:r>
      <w:r>
        <w:rPr>
          <w:rFonts w:hint="eastAsia" w:ascii="楷体_GB2312" w:hAnsi="楷体_GB2312" w:eastAsia="楷体_GB2312" w:cs="楷体_GB2312"/>
          <w:b w:val="0"/>
          <w:bCs w:val="0"/>
          <w:kern w:val="2"/>
          <w:sz w:val="32"/>
          <w:szCs w:val="32"/>
          <w:lang w:val="en-US" w:eastAsia="zh-CN" w:bidi="ar-SA"/>
        </w:rPr>
        <w:t>11</w:t>
      </w:r>
      <w:r>
        <w:rPr>
          <w:rFonts w:hint="eastAsia" w:ascii="楷体_GB2312" w:hAnsi="楷体_GB2312" w:eastAsia="楷体_GB2312" w:cs="楷体_GB2312"/>
          <w:b w:val="0"/>
          <w:bCs w:val="0"/>
          <w:snapToGrid w:val="0"/>
          <w:kern w:val="0"/>
          <w:sz w:val="32"/>
          <w14:ligatures w14:val="standardContextual"/>
        </w:rPr>
        <w:t>月）</w:t>
      </w:r>
    </w:p>
    <w:p w14:paraId="4DBF1FA4">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eastAsia="仿宋_GB2312" w:cs="仿宋_GB2312"/>
          <w:snapToGrid w:val="0"/>
          <w:kern w:val="0"/>
          <w:sz w:val="32"/>
          <w14:ligatures w14:val="standardContextual"/>
        </w:rPr>
      </w:pPr>
      <w:r>
        <w:rPr>
          <w:rFonts w:hint="eastAsia" w:ascii="Times New Roman" w:hAnsi="Times New Roman" w:cs="仿宋_GB2312"/>
          <w:b/>
          <w:bCs/>
          <w:snapToGrid w:val="0"/>
          <w:kern w:val="0"/>
          <w:sz w:val="32"/>
          <w14:ligatures w14:val="standardContextual"/>
        </w:rPr>
        <w:t>1.自查阶段</w:t>
      </w:r>
      <w:r>
        <w:rPr>
          <w:rFonts w:hint="eastAsia" w:ascii="Times New Roman" w:hAnsi="Times New Roman" w:cs="仿宋_GB2312"/>
          <w:snapToGrid w:val="0"/>
          <w:kern w:val="0"/>
          <w:sz w:val="32"/>
          <w14:ligatures w14:val="standardContextual"/>
        </w:rPr>
        <w:t>。</w:t>
      </w:r>
      <w:r>
        <w:rPr>
          <w:rFonts w:hint="eastAsia" w:ascii="仿宋_GB2312" w:hAnsi="仿宋_GB2312" w:eastAsia="仿宋_GB2312" w:cs="仿宋_GB2312"/>
          <w:snapToGrid w:val="0"/>
          <w:kern w:val="0"/>
          <w:sz w:val="32"/>
          <w14:ligatures w14:val="standardContextual"/>
        </w:rPr>
        <w:t>各民营医疗机构、互联网医院根据本单位实施方案开展自查自纠，对于发现的问题和风险点立整立改，对于自查发现严重问题且无法解决的要及时停业整改并向区卫生健康委和区政务服务办报告。各民营医疗机构、互联网医院于</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snapToGrid w:val="0"/>
          <w:kern w:val="0"/>
          <w:sz w:val="32"/>
          <w14:ligatures w14:val="standardContextual"/>
        </w:rPr>
        <w:t>月</w:t>
      </w:r>
      <w:r>
        <w:rPr>
          <w:rFonts w:hint="eastAsia" w:ascii="Times New Roman" w:hAnsi="Times New Roman" w:eastAsia="仿宋_GB2312" w:cs="Times New Roman"/>
          <w:kern w:val="2"/>
          <w:sz w:val="32"/>
          <w:szCs w:val="32"/>
          <w:lang w:val="en-US" w:eastAsia="zh-CN" w:bidi="ar-SA"/>
        </w:rPr>
        <w:t>15</w:t>
      </w:r>
      <w:r>
        <w:rPr>
          <w:rFonts w:hint="eastAsia" w:ascii="仿宋_GB2312" w:hAnsi="仿宋_GB2312" w:cs="仿宋_GB2312"/>
          <w:snapToGrid w:val="0"/>
          <w:kern w:val="0"/>
          <w:sz w:val="32"/>
          <w:lang w:val="en-US" w:eastAsia="zh-CN"/>
          <w14:ligatures w14:val="standardContextual"/>
        </w:rPr>
        <w:t>日</w:t>
      </w:r>
      <w:r>
        <w:rPr>
          <w:rFonts w:hint="eastAsia" w:ascii="仿宋_GB2312" w:hAnsi="仿宋_GB2312" w:eastAsia="仿宋_GB2312" w:cs="仿宋_GB2312"/>
          <w:snapToGrid w:val="0"/>
          <w:kern w:val="0"/>
          <w:sz w:val="32"/>
          <w14:ligatures w14:val="standardContextual"/>
        </w:rPr>
        <w:t>前将自查工作总结及发现问题汇总表、整改报告书按原渠道报送至区卫生健康委。</w:t>
      </w:r>
    </w:p>
    <w:p w14:paraId="6113821C">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Times New Roman" w:hAnsi="Times New Roman" w:cs="仿宋_GB2312"/>
          <w:b/>
          <w:bCs/>
          <w:snapToGrid w:val="0"/>
          <w:kern w:val="0"/>
          <w:sz w:val="32"/>
          <w14:ligatures w14:val="standardContextual"/>
        </w:rPr>
        <w:t>2.区级检查阶段</w:t>
      </w:r>
      <w:r>
        <w:rPr>
          <w:rFonts w:hint="eastAsia" w:ascii="Times New Roman" w:hAnsi="Times New Roman" w:cs="仿宋_GB2312"/>
          <w:snapToGrid w:val="0"/>
          <w:kern w:val="0"/>
          <w:sz w:val="32"/>
          <w14:ligatures w14:val="standardContextual"/>
        </w:rPr>
        <w:t>。</w:t>
      </w:r>
      <w:r>
        <w:rPr>
          <w:rFonts w:hint="eastAsia" w:ascii="Times New Roman" w:hAnsi="Times New Roman" w:cs="仿宋_GB2312"/>
          <w:snapToGrid w:val="0"/>
          <w:kern w:val="0"/>
          <w:sz w:val="32"/>
          <w:lang w:eastAsia="zh-CN"/>
          <w14:ligatures w14:val="standardContextual"/>
        </w:rPr>
        <w:t>各</w:t>
      </w:r>
      <w:r>
        <w:rPr>
          <w:rFonts w:hint="eastAsia" w:ascii="Times New Roman" w:hAnsi="Times New Roman" w:cs="仿宋_GB2312"/>
          <w:snapToGrid w:val="0"/>
          <w:kern w:val="0"/>
          <w:sz w:val="32"/>
          <w14:ligatures w14:val="standardContextual"/>
        </w:rPr>
        <w:t>专项检查专家组按照</w:t>
      </w:r>
      <w:r>
        <w:rPr>
          <w:rFonts w:hint="eastAsia" w:ascii="仿宋_GB2312" w:hAnsi="仿宋_GB2312" w:cs="仿宋_GB2312"/>
          <w:sz w:val="32"/>
        </w:rPr>
        <w:t>天津市民营医疗机构依法执业规范诊疗专项检查表（附件</w:t>
      </w:r>
      <w:r>
        <w:rPr>
          <w:rFonts w:hint="eastAsia" w:ascii="Times New Roman" w:hAnsi="Times New Roman" w:eastAsia="仿宋_GB2312" w:cs="Times New Roman"/>
          <w:kern w:val="2"/>
          <w:sz w:val="32"/>
          <w:szCs w:val="32"/>
          <w:lang w:val="en-US" w:eastAsia="zh-CN" w:bidi="ar-SA"/>
        </w:rPr>
        <w:t>5</w:t>
      </w:r>
      <w:r>
        <w:rPr>
          <w:rFonts w:hint="eastAsia" w:ascii="仿宋_GB2312" w:hAnsi="仿宋_GB2312" w:cs="仿宋_GB2312"/>
          <w:sz w:val="32"/>
        </w:rPr>
        <w:t>）内容</w:t>
      </w:r>
      <w:r>
        <w:rPr>
          <w:rFonts w:hint="eastAsia" w:ascii="Times New Roman" w:hAnsi="Times New Roman" w:cs="仿宋_GB2312"/>
          <w:snapToGrid w:val="0"/>
          <w:kern w:val="0"/>
          <w:sz w:val="32"/>
          <w14:ligatures w14:val="standardContextual"/>
        </w:rPr>
        <w:t>对于有关</w:t>
      </w:r>
      <w:r>
        <w:rPr>
          <w:rFonts w:hint="eastAsia" w:ascii="仿宋_GB2312" w:hAnsi="仿宋_GB2312" w:cs="仿宋_GB2312"/>
          <w:sz w:val="32"/>
        </w:rPr>
        <w:t>医疗机构采取实地查看、查阅资料、调查访谈、线索追踪或暗访的方式进行检查。各开发区、泰达街卫生健康管理部门按照方案要求组织督查专家对于辖区内民营医疗机构、互联网医院进行检查</w:t>
      </w:r>
      <w:r>
        <w:rPr>
          <w:rFonts w:hint="eastAsia" w:ascii="仿宋_GB2312" w:hAnsi="仿宋_GB2312" w:cs="仿宋_GB2312"/>
          <w:sz w:val="32"/>
          <w:lang w:eastAsia="zh-CN"/>
        </w:rPr>
        <w:t>（</w:t>
      </w:r>
      <w:r>
        <w:rPr>
          <w:rFonts w:hint="eastAsia" w:ascii="仿宋_GB2312" w:hAnsi="仿宋_GB2312" w:cs="仿宋_GB2312"/>
          <w:sz w:val="32"/>
          <w:lang w:val="en-US" w:eastAsia="zh-CN"/>
        </w:rPr>
        <w:t>按照附件</w:t>
      </w:r>
      <w:r>
        <w:rPr>
          <w:rFonts w:hint="eastAsia" w:ascii="Times New Roman" w:hAnsi="Times New Roman" w:eastAsia="仿宋_GB2312" w:cs="Times New Roman"/>
          <w:kern w:val="2"/>
          <w:sz w:val="32"/>
          <w:szCs w:val="32"/>
          <w:lang w:val="en-US" w:eastAsia="zh-CN" w:bidi="ar-SA"/>
        </w:rPr>
        <w:t>5</w:t>
      </w:r>
      <w:r>
        <w:rPr>
          <w:rFonts w:hint="eastAsia" w:ascii="仿宋_GB2312" w:hAnsi="仿宋_GB2312" w:cs="仿宋_GB2312"/>
          <w:sz w:val="32"/>
          <w:lang w:val="en-US" w:eastAsia="zh-CN"/>
        </w:rPr>
        <w:t>专项检查表内容</w:t>
      </w:r>
      <w:r>
        <w:rPr>
          <w:rFonts w:hint="eastAsia" w:ascii="仿宋_GB2312" w:hAnsi="仿宋_GB2312" w:cs="仿宋_GB2312"/>
          <w:sz w:val="32"/>
          <w:lang w:eastAsia="zh-CN"/>
        </w:rPr>
        <w:t>）</w:t>
      </w:r>
      <w:r>
        <w:rPr>
          <w:rFonts w:hint="eastAsia" w:ascii="仿宋_GB2312" w:hAnsi="仿宋_GB2312" w:cs="仿宋_GB2312"/>
          <w:sz w:val="32"/>
        </w:rPr>
        <w:t>，对于</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cs="仿宋_GB2312"/>
          <w:sz w:val="32"/>
        </w:rPr>
        <w:t>年民营医院专项巡查行动“回头看”及</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sz w:val="32"/>
        </w:rPr>
        <w:t>月开展的天津市规范民营医院发展专项行动中发现问题的单位</w:t>
      </w:r>
      <w:r>
        <w:rPr>
          <w:rFonts w:hint="eastAsia" w:ascii="仿宋_GB2312" w:hAnsi="仿宋_GB2312" w:cs="仿宋_GB2312"/>
          <w:sz w:val="32"/>
          <w:lang w:eastAsia="zh-CN"/>
        </w:rPr>
        <w:t>（</w:t>
      </w:r>
      <w:r>
        <w:rPr>
          <w:rFonts w:hint="eastAsia" w:ascii="仿宋_GB2312" w:hAnsi="仿宋_GB2312" w:cs="仿宋_GB2312"/>
          <w:sz w:val="32"/>
          <w:lang w:val="en-US" w:eastAsia="zh-CN"/>
        </w:rPr>
        <w:t>附件</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cs="仿宋_GB2312"/>
          <w:sz w:val="32"/>
          <w:lang w:eastAsia="zh-CN"/>
        </w:rPr>
        <w:t>）</w:t>
      </w:r>
      <w:r>
        <w:rPr>
          <w:rFonts w:hint="eastAsia" w:ascii="仿宋_GB2312" w:hAnsi="仿宋_GB2312" w:cs="仿宋_GB2312"/>
          <w:sz w:val="32"/>
          <w:lang w:val="en-US" w:eastAsia="zh-CN"/>
        </w:rPr>
        <w:t>涉及本辖区的</w:t>
      </w:r>
      <w:r>
        <w:rPr>
          <w:rFonts w:hint="eastAsia" w:ascii="仿宋_GB2312" w:hAnsi="仿宋_GB2312" w:cs="仿宋_GB2312"/>
          <w:sz w:val="32"/>
        </w:rPr>
        <w:t>进行再督查。</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cs="仿宋_GB2312"/>
          <w:sz w:val="32"/>
        </w:rPr>
        <w:t>.请执法监督室</w:t>
      </w:r>
      <w:r>
        <w:rPr>
          <w:rFonts w:hint="eastAsia" w:ascii="仿宋_GB2312" w:hAnsi="仿宋_GB2312" w:cs="仿宋_GB2312"/>
          <w:sz w:val="32"/>
          <w:lang w:eastAsia="zh-CN"/>
        </w:rPr>
        <w:t>，</w:t>
      </w:r>
      <w:r>
        <w:rPr>
          <w:rFonts w:hint="eastAsia" w:ascii="仿宋_GB2312" w:hAnsi="仿宋_GB2312" w:cs="仿宋_GB2312"/>
          <w:sz w:val="32"/>
        </w:rPr>
        <w:t>基层卫生室</w:t>
      </w:r>
      <w:r>
        <w:rPr>
          <w:rFonts w:hint="eastAsia" w:ascii="仿宋_GB2312" w:hAnsi="仿宋_GB2312" w:cs="仿宋_GB2312"/>
          <w:sz w:val="32"/>
          <w:lang w:eastAsia="zh-CN"/>
        </w:rPr>
        <w:t>，</w:t>
      </w:r>
      <w:r>
        <w:rPr>
          <w:rFonts w:hint="eastAsia" w:ascii="仿宋_GB2312" w:hAnsi="仿宋_GB2312" w:cs="仿宋_GB2312"/>
          <w:sz w:val="32"/>
        </w:rPr>
        <w:t>各开发区、泰达街健康管理部门于</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cs="仿宋_GB2312"/>
          <w:sz w:val="32"/>
        </w:rPr>
        <w:t>月</w:t>
      </w:r>
      <w:r>
        <w:rPr>
          <w:rFonts w:hint="eastAsia" w:ascii="Times New Roman" w:hAnsi="Times New Roman" w:eastAsia="仿宋_GB2312" w:cs="Times New Roman"/>
          <w:kern w:val="2"/>
          <w:sz w:val="32"/>
          <w:szCs w:val="32"/>
          <w:lang w:val="en-US" w:eastAsia="zh-CN" w:bidi="ar-SA"/>
        </w:rPr>
        <w:t>23</w:t>
      </w:r>
      <w:r>
        <w:rPr>
          <w:rFonts w:hint="eastAsia" w:ascii="仿宋_GB2312" w:hAnsi="仿宋_GB2312" w:cs="仿宋_GB2312"/>
          <w:sz w:val="32"/>
        </w:rPr>
        <w:t>日前将专项检查发现问题汇总表（附件</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cs="仿宋_GB2312"/>
          <w:sz w:val="32"/>
        </w:rPr>
        <w:t>）及工作总结（附件</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cs="仿宋_GB2312"/>
          <w:sz w:val="32"/>
        </w:rPr>
        <w:t>）电子版和盖章扫描版报送至区卫生健康委医政医管室政务邮箱</w:t>
      </w:r>
      <w:r>
        <w:rPr>
          <w:rFonts w:hint="default" w:ascii="Times New Roman" w:hAnsi="Times New Roman" w:eastAsia="仿宋_GB2312" w:cs="Times New Roman"/>
          <w:snapToGrid w:val="0"/>
          <w:kern w:val="0"/>
          <w:sz w:val="32"/>
          <w:szCs w:val="32"/>
          <w:lang w:val="en-US" w:eastAsia="zh-CN" w:bidi="ar-SA"/>
          <w14:ligatures w14:val="standardContextual"/>
        </w:rPr>
        <w:t>bhwjwyzc@tj.gov.cn</w:t>
      </w:r>
      <w:r>
        <w:rPr>
          <w:rFonts w:hint="eastAsia" w:ascii="仿宋_GB2312" w:hAnsi="仿宋_GB2312" w:cs="仿宋_GB2312"/>
          <w:sz w:val="32"/>
          <w:lang w:eastAsia="zh-CN"/>
        </w:rPr>
        <w:t>并持续追踪问题单位整改落实情况，请最迟于</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cs="仿宋_GB2312"/>
          <w:sz w:val="32"/>
          <w:lang w:val="en-US" w:eastAsia="zh-CN"/>
        </w:rPr>
        <w:t>月</w:t>
      </w:r>
      <w:r>
        <w:rPr>
          <w:rFonts w:hint="eastAsia" w:ascii="Times New Roman" w:hAnsi="Times New Roman" w:eastAsia="仿宋_GB2312" w:cs="Times New Roman"/>
          <w:kern w:val="2"/>
          <w:sz w:val="32"/>
          <w:szCs w:val="32"/>
          <w:lang w:val="en-US" w:eastAsia="zh-CN" w:bidi="ar-SA"/>
        </w:rPr>
        <w:t>15</w:t>
      </w:r>
      <w:r>
        <w:rPr>
          <w:rFonts w:hint="eastAsia" w:ascii="仿宋_GB2312" w:hAnsi="仿宋_GB2312" w:cs="仿宋_GB2312"/>
          <w:sz w:val="32"/>
          <w:lang w:val="en-US" w:eastAsia="zh-CN"/>
        </w:rPr>
        <w:t>日前将整改落实情况电子版和盖章扫描版报送至医政医管室政务邮箱</w:t>
      </w:r>
      <w:r>
        <w:rPr>
          <w:rFonts w:hint="eastAsia" w:ascii="仿宋_GB2312" w:hAnsi="仿宋_GB2312" w:cs="仿宋_GB2312"/>
          <w:sz w:val="32"/>
        </w:rPr>
        <w:t>。</w:t>
      </w:r>
    </w:p>
    <w:p w14:paraId="13AB74ED">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eastAsia="仿宋_GB2312" w:cs="仿宋_GB2312"/>
          <w:sz w:val="32"/>
          <w:lang w:val="en-US" w:eastAsia="zh-CN"/>
        </w:rPr>
      </w:pPr>
      <w:r>
        <w:rPr>
          <w:rFonts w:hint="default" w:ascii="Times New Roman" w:hAnsi="Times New Roman" w:cs="Times New Roman"/>
          <w:b/>
          <w:bCs/>
          <w:sz w:val="32"/>
        </w:rPr>
        <w:t>3</w:t>
      </w:r>
      <w:r>
        <w:rPr>
          <w:rFonts w:hint="eastAsia" w:ascii="仿宋_GB2312" w:hAnsi="仿宋_GB2312" w:cs="仿宋_GB2312"/>
          <w:b/>
          <w:bCs/>
          <w:sz w:val="32"/>
        </w:rPr>
        <w:t>.市级抽查阶段</w:t>
      </w:r>
      <w:r>
        <w:rPr>
          <w:rFonts w:hint="eastAsia" w:ascii="仿宋_GB2312" w:hAnsi="仿宋_GB2312" w:cs="仿宋_GB2312"/>
          <w:sz w:val="32"/>
        </w:rPr>
        <w:t>。</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10</w:t>
      </w:r>
      <w:r>
        <w:rPr>
          <w:rFonts w:hint="eastAsia" w:ascii="仿宋_GB2312" w:hAnsi="仿宋_GB2312" w:cs="仿宋_GB2312"/>
          <w:sz w:val="32"/>
        </w:rPr>
        <w:t>月至</w:t>
      </w:r>
      <w:r>
        <w:rPr>
          <w:rFonts w:hint="eastAsia" w:ascii="Times New Roman" w:hAnsi="Times New Roman" w:eastAsia="仿宋_GB2312" w:cs="Times New Roman"/>
          <w:kern w:val="2"/>
          <w:sz w:val="32"/>
          <w:szCs w:val="32"/>
          <w:lang w:val="en-US" w:eastAsia="zh-CN" w:bidi="ar-SA"/>
        </w:rPr>
        <w:t>11</w:t>
      </w:r>
      <w:r>
        <w:rPr>
          <w:rFonts w:hint="eastAsia" w:ascii="仿宋_GB2312" w:hAnsi="仿宋_GB2312" w:cs="仿宋_GB2312"/>
          <w:sz w:val="32"/>
        </w:rPr>
        <w:t>月，市卫生健康委委托市医疗服务评价和指导中心、市卫生监督所和市级有关医疗质量控制中心对各区卫生健康委专项行动开展情况进行抽查和专业指导</w:t>
      </w:r>
      <w:r>
        <w:rPr>
          <w:rFonts w:hint="eastAsia" w:ascii="仿宋_GB2312" w:hAnsi="仿宋_GB2312" w:cs="仿宋_GB2312"/>
          <w:sz w:val="32"/>
          <w:lang w:eastAsia="zh-CN"/>
        </w:rPr>
        <w:t>。</w:t>
      </w:r>
    </w:p>
    <w:p w14:paraId="1D0DD61C">
      <w:pPr>
        <w:pStyle w:val="3"/>
        <w:keepNext w:val="0"/>
        <w:keepLines w:val="0"/>
        <w:pageBreakBefore w:val="0"/>
        <w:widowControl w:val="0"/>
        <w:numPr>
          <w:ilvl w:val="0"/>
          <w:numId w:val="0"/>
        </w:numPr>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lang w:eastAsia="zh-CN"/>
        </w:rPr>
        <w:t>（三）</w:t>
      </w:r>
      <w:r>
        <w:rPr>
          <w:rFonts w:hint="eastAsia" w:ascii="楷体_GB2312" w:hAnsi="楷体_GB2312" w:eastAsia="楷体_GB2312" w:cs="楷体_GB2312"/>
          <w:b w:val="0"/>
          <w:bCs w:val="0"/>
          <w:sz w:val="32"/>
        </w:rPr>
        <w:t>工作总结阶段（</w:t>
      </w:r>
      <w:r>
        <w:rPr>
          <w:rFonts w:hint="eastAsia" w:ascii="楷体_GB2312" w:hAnsi="楷体_GB2312" w:eastAsia="楷体_GB2312" w:cs="楷体_GB2312"/>
          <w:b w:val="0"/>
          <w:bCs w:val="0"/>
          <w:kern w:val="2"/>
          <w:sz w:val="32"/>
          <w:szCs w:val="32"/>
          <w:lang w:val="en-US" w:eastAsia="zh-CN" w:bidi="ar-SA"/>
        </w:rPr>
        <w:t>2024</w:t>
      </w:r>
      <w:r>
        <w:rPr>
          <w:rFonts w:hint="eastAsia" w:ascii="楷体_GB2312" w:hAnsi="楷体_GB2312" w:eastAsia="楷体_GB2312" w:cs="楷体_GB2312"/>
          <w:b w:val="0"/>
          <w:bCs w:val="0"/>
          <w:sz w:val="32"/>
        </w:rPr>
        <w:t>年</w:t>
      </w:r>
      <w:r>
        <w:rPr>
          <w:rFonts w:hint="eastAsia" w:ascii="楷体_GB2312" w:hAnsi="楷体_GB2312" w:eastAsia="楷体_GB2312" w:cs="楷体_GB2312"/>
          <w:b w:val="0"/>
          <w:bCs w:val="0"/>
          <w:kern w:val="2"/>
          <w:sz w:val="32"/>
          <w:szCs w:val="32"/>
          <w:lang w:val="en-US" w:eastAsia="zh-CN" w:bidi="ar-SA"/>
        </w:rPr>
        <w:t>11</w:t>
      </w:r>
      <w:r>
        <w:rPr>
          <w:rFonts w:hint="eastAsia" w:ascii="楷体_GB2312" w:hAnsi="楷体_GB2312" w:eastAsia="楷体_GB2312" w:cs="楷体_GB2312"/>
          <w:b w:val="0"/>
          <w:bCs w:val="0"/>
          <w:sz w:val="32"/>
        </w:rPr>
        <w:t>月）</w:t>
      </w:r>
    </w:p>
    <w:p w14:paraId="54D2EF9F">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区级检查、市级抽查到的医疗机构、互联网医院要进行专项检查工作总结，分析本单位存在的问题和薄弱环节，剖析问题成因，分层分类提出解决方法，并于</w:t>
      </w:r>
      <w:r>
        <w:rPr>
          <w:rFonts w:hint="eastAsia" w:ascii="Times New Roman" w:hAnsi="Times New Roman" w:eastAsia="仿宋_GB2312" w:cs="Times New Roman"/>
          <w:kern w:val="2"/>
          <w:sz w:val="32"/>
          <w:szCs w:val="32"/>
          <w:lang w:val="en-US" w:eastAsia="zh-CN" w:bidi="ar-SA"/>
        </w:rPr>
        <w:t>11</w:t>
      </w:r>
      <w:r>
        <w:rPr>
          <w:rFonts w:hint="eastAsia" w:ascii="仿宋_GB2312" w:hAnsi="仿宋_GB2312" w:cs="仿宋_GB2312"/>
          <w:sz w:val="32"/>
        </w:rPr>
        <w:t>月</w:t>
      </w:r>
      <w:r>
        <w:rPr>
          <w:rFonts w:hint="eastAsia" w:ascii="Times New Roman" w:hAnsi="Times New Roman" w:eastAsia="仿宋_GB2312" w:cs="Times New Roman"/>
          <w:kern w:val="2"/>
          <w:sz w:val="32"/>
          <w:szCs w:val="32"/>
          <w:lang w:val="en-US" w:eastAsia="zh-CN" w:bidi="ar-SA"/>
        </w:rPr>
        <w:t>30</w:t>
      </w:r>
      <w:r>
        <w:rPr>
          <w:rFonts w:hint="eastAsia" w:ascii="仿宋_GB2312" w:hAnsi="仿宋_GB2312" w:cs="仿宋_GB2312"/>
          <w:sz w:val="32"/>
        </w:rPr>
        <w:t>日前报送至区卫生健康委医政医管室政务邮箱。</w:t>
      </w:r>
    </w:p>
    <w:p w14:paraId="68F32022">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仿宋_GB2312" w:hAnsi="仿宋_GB2312" w:cs="仿宋_GB2312"/>
          <w:b/>
          <w:bCs/>
          <w:sz w:val="32"/>
        </w:rPr>
      </w:pPr>
      <w:r>
        <w:rPr>
          <w:rFonts w:hint="eastAsia" w:ascii="黑体" w:hAnsi="黑体" w:eastAsia="黑体" w:cs="黑体"/>
          <w:b/>
          <w:bCs/>
          <w:sz w:val="32"/>
          <w:lang w:eastAsia="zh-CN"/>
        </w:rPr>
        <w:t>五</w:t>
      </w:r>
      <w:r>
        <w:rPr>
          <w:rFonts w:hint="eastAsia" w:ascii="黑体" w:hAnsi="黑体" w:eastAsia="黑体" w:cs="黑体"/>
          <w:b/>
          <w:bCs/>
          <w:sz w:val="32"/>
        </w:rPr>
        <w:t>、工作要求</w:t>
      </w:r>
    </w:p>
    <w:p w14:paraId="70706D25">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（一）提高政治站位，加强组织领导</w:t>
      </w:r>
    </w:p>
    <w:p w14:paraId="5B8EA810">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各开发区、泰达街</w:t>
      </w:r>
      <w:r>
        <w:rPr>
          <w:rFonts w:hint="eastAsia" w:ascii="仿宋_GB2312" w:hAnsi="仿宋_GB2312" w:cs="仿宋_GB2312"/>
          <w:sz w:val="32"/>
          <w:lang w:eastAsia="zh-CN"/>
        </w:rPr>
        <w:t>卫生</w:t>
      </w:r>
      <w:r>
        <w:rPr>
          <w:rFonts w:hint="eastAsia" w:ascii="仿宋_GB2312" w:hAnsi="仿宋_GB2312" w:cs="仿宋_GB2312"/>
          <w:sz w:val="32"/>
        </w:rPr>
        <w:t>健康管理部门要落实属地监管责任，做好本辖区各民营医疗机构、互联网医院检查及</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cs="仿宋_GB2312"/>
          <w:sz w:val="32"/>
        </w:rPr>
        <w:t>年民营医院专项巡查行动“回头看”及</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sz w:val="32"/>
        </w:rPr>
        <w:t>月开展的天津市规范民营医院发展专项行动中发展问题涉及本辖区医疗机构的再督查</w:t>
      </w:r>
      <w:r>
        <w:rPr>
          <w:rFonts w:hint="eastAsia" w:ascii="仿宋_GB2312" w:hAnsi="仿宋_GB2312" w:cs="仿宋_GB2312"/>
          <w:sz w:val="32"/>
          <w:lang w:eastAsia="zh-CN"/>
        </w:rPr>
        <w:t>及追踪整改落实情况</w:t>
      </w:r>
      <w:r>
        <w:rPr>
          <w:rFonts w:hint="eastAsia" w:ascii="仿宋_GB2312" w:hAnsi="仿宋_GB2312" w:cs="仿宋_GB2312"/>
          <w:sz w:val="32"/>
        </w:rPr>
        <w:t>。各民营医疗机构、互联网医院要提高政治站位，增强责任意识和主体意识，充分认识加强依法执业、安全运行、规范诊疗行为对保障人民群众健康权益的重要意义。细化本单位具体工作方案，明确任务分工和时间节点、压实部门和人员责任，做好机构内自查自纠，确保自查效果。</w:t>
      </w:r>
    </w:p>
    <w:p w14:paraId="1D5DCF07">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（二）突出问题导向，严肃查处违法问题</w:t>
      </w:r>
    </w:p>
    <w:p w14:paraId="3D22E0FC">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各开发区、泰达街</w:t>
      </w:r>
      <w:r>
        <w:rPr>
          <w:rFonts w:hint="eastAsia" w:ascii="仿宋_GB2312" w:hAnsi="仿宋_GB2312" w:cs="仿宋_GB2312"/>
          <w:sz w:val="32"/>
          <w:lang w:eastAsia="zh-CN"/>
        </w:rPr>
        <w:t>卫生</w:t>
      </w:r>
      <w:r>
        <w:rPr>
          <w:rFonts w:hint="eastAsia" w:ascii="仿宋_GB2312" w:hAnsi="仿宋_GB2312" w:cs="仿宋_GB2312"/>
          <w:sz w:val="32"/>
        </w:rPr>
        <w:t>健康管理部门要突出问题导向，对照检查内容严肃查处。各民营医疗机构、互联网医院要强化问题导向，对照检查内容，结合既往检查发现的重点问题，投诉举报集中反映的问题，医保部门通报的骗保案件、审计提出的违法违规执业问题等，加大自查力度，建立工作台账，按照应改尽改、立行立改的原则，对于相关风险隐患进行销号管理。各职能部门切实履行院内管理职责，实现科室和部门行动全覆盖，对发现的问题进行深入研究和追查，剖析问题成因，找到解决方法。滨海新区疾病预防控制中心（天津市滨海新区卫生监督所）对于各民营医疗机构、互联网医院开展法律法规知识培训</w:t>
      </w:r>
      <w:r>
        <w:rPr>
          <w:rFonts w:hint="eastAsia" w:ascii="仿宋_GB2312" w:hAnsi="仿宋_GB2312" w:cs="仿宋_GB2312"/>
          <w:sz w:val="32"/>
          <w:lang w:eastAsia="zh-CN"/>
        </w:rPr>
        <w:t>并</w:t>
      </w:r>
      <w:r>
        <w:rPr>
          <w:rFonts w:hint="eastAsia" w:ascii="仿宋_GB2312" w:hAnsi="仿宋_GB2312" w:cs="仿宋_GB2312"/>
          <w:sz w:val="32"/>
        </w:rPr>
        <w:t>加大检查力度，对于</w:t>
      </w:r>
      <w:r>
        <w:rPr>
          <w:rFonts w:hint="eastAsia" w:ascii="仿宋_GB2312" w:hAnsi="仿宋_GB2312" w:cs="仿宋_GB2312"/>
          <w:sz w:val="32"/>
          <w:lang w:eastAsia="zh-CN"/>
        </w:rPr>
        <w:t>违法违纪的</w:t>
      </w:r>
      <w:r>
        <w:rPr>
          <w:rFonts w:hint="eastAsia" w:ascii="仿宋_GB2312" w:hAnsi="仿宋_GB2312" w:cs="仿宋_GB2312"/>
          <w:sz w:val="32"/>
        </w:rPr>
        <w:t>医疗机构依据有关规定处理。对需要移送的案件线索，依法移送有关行政、司法部门。</w:t>
      </w:r>
    </w:p>
    <w:p w14:paraId="7BC42FB2">
      <w:pPr>
        <w:pStyle w:val="3"/>
        <w:keepNext w:val="0"/>
        <w:keepLines w:val="0"/>
        <w:pageBreakBefore w:val="0"/>
        <w:widowControl w:val="0"/>
        <w:kinsoku/>
        <w:wordWrap/>
        <w:overflowPunct/>
        <w:topLinePunct w:val="0"/>
        <w:autoSpaceDE/>
        <w:autoSpaceDN/>
        <w:bidi w:val="0"/>
        <w:adjustRightInd/>
        <w:spacing w:line="578" w:lineRule="exact"/>
        <w:ind w:firstLine="632"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（三）做好工作总结，探索长效机制</w:t>
      </w:r>
    </w:p>
    <w:p w14:paraId="097C0148">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rPr>
        <w:t>各民营医疗机构、互联网医院要做好工作总结，分析工作中存在的问题，系统剖析问题成因，以问题为导向，坚持标本兼治，从制度机制等层面弥补漏洞。区卫生健康委将以此次专项检查工作为契机，切实做好各民营医疗机构、互联网医院从准入、退出、执业等方面全链条监管工作，形成长效工作机制，加强长效管理。</w:t>
      </w:r>
    </w:p>
    <w:p w14:paraId="0331B338">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仿宋_GB2312" w:hAnsi="仿宋_GB2312" w:cs="仿宋_GB2312"/>
          <w:sz w:val="32"/>
        </w:rPr>
      </w:pPr>
    </w:p>
    <w:p w14:paraId="4EA51127">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仿宋_GB2312" w:hAnsi="仿宋_GB2312" w:cs="仿宋_GB2312"/>
          <w:sz w:val="32"/>
        </w:rPr>
      </w:pPr>
      <w:r>
        <w:rPr>
          <w:rFonts w:hint="eastAsia" w:ascii="仿宋_GB2312" w:hAnsi="仿宋_GB2312" w:cs="仿宋_GB2312"/>
          <w:sz w:val="32"/>
          <w:lang w:eastAsia="zh-CN"/>
        </w:rPr>
        <w:t>附件</w:t>
      </w:r>
      <w:r>
        <w:rPr>
          <w:rFonts w:hint="eastAsia" w:ascii="仿宋_GB2312" w:hAnsi="仿宋_GB2312" w:cs="仿宋_GB2312"/>
          <w:sz w:val="32"/>
          <w:lang w:val="en-US" w:eastAsia="zh-CN"/>
        </w:rPr>
        <w:t xml:space="preserve">: </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sz w:val="32"/>
        </w:rPr>
        <w:t>.</w:t>
      </w:r>
      <w:r>
        <w:rPr>
          <w:rFonts w:hint="eastAsia" w:ascii="仿宋_GB2312" w:hAnsi="仿宋_GB2312" w:cs="仿宋_GB2312"/>
          <w:sz w:val="32"/>
          <w:lang w:eastAsia="zh-CN"/>
        </w:rPr>
        <w:t>滨海新区检查</w:t>
      </w:r>
      <w:r>
        <w:rPr>
          <w:rFonts w:hint="eastAsia" w:ascii="仿宋_GB2312" w:hAnsi="仿宋_GB2312" w:cs="仿宋_GB2312"/>
          <w:sz w:val="32"/>
        </w:rPr>
        <w:t>一级及以上民营医院列表</w:t>
      </w:r>
    </w:p>
    <w:p w14:paraId="570EE1F5">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2</w:t>
      </w:r>
      <w:r>
        <w:rPr>
          <w:rFonts w:hint="eastAsia" w:ascii="仿宋_GB2312" w:hAnsi="仿宋_GB2312" w:cs="仿宋_GB2312"/>
          <w:sz w:val="32"/>
          <w:lang w:val="en-US" w:eastAsia="zh-CN"/>
        </w:rPr>
        <w:t>.滨海新区检查互联网医院列表</w:t>
      </w:r>
    </w:p>
    <w:p w14:paraId="12D4A3C2">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1580" w:firstLineChars="500"/>
        <w:jc w:val="both"/>
        <w:textAlignment w:val="auto"/>
        <w:rPr>
          <w:rFonts w:hint="eastAsia" w:ascii="仿宋_GB2312" w:hAnsi="仿宋_GB2312" w:cs="仿宋_GB2312"/>
          <w:sz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cs="仿宋_GB2312"/>
          <w:sz w:val="32"/>
          <w:lang w:val="en-US" w:eastAsia="zh-CN"/>
        </w:rPr>
        <w:t>.</w:t>
      </w:r>
      <w:r>
        <w:rPr>
          <w:rFonts w:hint="eastAsia" w:ascii="仿宋_GB2312" w:hAnsi="仿宋_GB2312" w:cs="仿宋_GB2312"/>
          <w:sz w:val="32"/>
          <w:lang w:eastAsia="zh-CN"/>
        </w:rPr>
        <w:t>滨海新区检查</w:t>
      </w:r>
      <w:r>
        <w:rPr>
          <w:rFonts w:hint="eastAsia" w:ascii="仿宋_GB2312" w:hAnsi="仿宋_GB2312" w:cs="仿宋_GB2312"/>
          <w:sz w:val="32"/>
        </w:rPr>
        <w:t>一级以下民营医疗机构列表</w:t>
      </w:r>
    </w:p>
    <w:p w14:paraId="3C6D1ACC">
      <w:pPr>
        <w:pStyle w:val="3"/>
        <w:keepNext w:val="0"/>
        <w:keepLines w:val="0"/>
        <w:pageBreakBefore w:val="0"/>
        <w:widowControl w:val="0"/>
        <w:kinsoku/>
        <w:wordWrap/>
        <w:overflowPunct/>
        <w:topLinePunct w:val="0"/>
        <w:autoSpaceDE/>
        <w:autoSpaceDN/>
        <w:bidi w:val="0"/>
        <w:adjustRightInd/>
        <w:snapToGrid w:val="0"/>
        <w:spacing w:line="578" w:lineRule="exact"/>
        <w:ind w:left="1580" w:leftChars="500" w:firstLine="0" w:firstLineChars="0"/>
        <w:jc w:val="both"/>
        <w:textAlignment w:val="auto"/>
        <w:rPr>
          <w:rFonts w:hint="eastAsia" w:ascii="仿宋_GB2312" w:hAnsi="仿宋_GB2312" w:cs="仿宋_GB2312"/>
          <w:sz w:val="32"/>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cs="仿宋_GB2312"/>
          <w:sz w:val="32"/>
          <w:lang w:val="en-US" w:eastAsia="zh-CN"/>
        </w:rPr>
        <w:t>.</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cs="仿宋_GB2312"/>
          <w:sz w:val="32"/>
        </w:rPr>
        <w:t>年民营医院专项巡查行动“回头看”</w:t>
      </w:r>
    </w:p>
    <w:p w14:paraId="0BA92F40">
      <w:pPr>
        <w:pStyle w:val="3"/>
        <w:keepNext w:val="0"/>
        <w:keepLines w:val="0"/>
        <w:pageBreakBefore w:val="0"/>
        <w:widowControl w:val="0"/>
        <w:kinsoku/>
        <w:wordWrap/>
        <w:overflowPunct/>
        <w:topLinePunct w:val="0"/>
        <w:autoSpaceDE/>
        <w:autoSpaceDN/>
        <w:bidi w:val="0"/>
        <w:adjustRightInd/>
        <w:snapToGrid w:val="0"/>
        <w:spacing w:line="578" w:lineRule="exact"/>
        <w:ind w:left="1580" w:leftChars="500" w:firstLine="316" w:firstLineChars="100"/>
        <w:jc w:val="both"/>
        <w:textAlignment w:val="auto"/>
        <w:rPr>
          <w:rFonts w:hint="eastAsia" w:ascii="仿宋_GB2312" w:hAnsi="仿宋_GB2312" w:cs="仿宋_GB2312"/>
          <w:sz w:val="32"/>
        </w:rPr>
      </w:pPr>
      <w:r>
        <w:rPr>
          <w:rFonts w:hint="eastAsia" w:ascii="仿宋_GB2312" w:hAnsi="仿宋_GB2312" w:cs="仿宋_GB2312"/>
          <w:sz w:val="32"/>
        </w:rPr>
        <w:t>及</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cs="仿宋_GB2312"/>
          <w:sz w:val="32"/>
        </w:rPr>
        <w:t>年</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cs="仿宋_GB2312"/>
          <w:sz w:val="32"/>
        </w:rPr>
        <w:t>月开展的天津市规范民营医</w:t>
      </w:r>
    </w:p>
    <w:p w14:paraId="135DBF82">
      <w:pPr>
        <w:pStyle w:val="3"/>
        <w:keepNext w:val="0"/>
        <w:keepLines w:val="0"/>
        <w:pageBreakBefore w:val="0"/>
        <w:widowControl w:val="0"/>
        <w:kinsoku/>
        <w:wordWrap/>
        <w:overflowPunct/>
        <w:topLinePunct w:val="0"/>
        <w:autoSpaceDE/>
        <w:autoSpaceDN/>
        <w:bidi w:val="0"/>
        <w:adjustRightInd/>
        <w:snapToGrid w:val="0"/>
        <w:spacing w:line="578" w:lineRule="exact"/>
        <w:ind w:left="1580" w:leftChars="500" w:firstLine="316" w:firstLineChars="100"/>
        <w:jc w:val="both"/>
        <w:textAlignment w:val="auto"/>
        <w:rPr>
          <w:rFonts w:hint="eastAsia" w:ascii="仿宋_GB2312" w:hAnsi="仿宋_GB2312" w:cs="仿宋_GB2312"/>
          <w:sz w:val="32"/>
        </w:rPr>
      </w:pPr>
      <w:r>
        <w:rPr>
          <w:rFonts w:hint="eastAsia" w:ascii="仿宋_GB2312" w:hAnsi="仿宋_GB2312" w:cs="仿宋_GB2312"/>
          <w:sz w:val="32"/>
        </w:rPr>
        <w:t>院发展专项行动中发现问题单位检查表</w:t>
      </w:r>
    </w:p>
    <w:p w14:paraId="03E306CF">
      <w:pPr>
        <w:pStyle w:val="3"/>
        <w:keepNext w:val="0"/>
        <w:keepLines w:val="0"/>
        <w:pageBreakBefore w:val="0"/>
        <w:widowControl w:val="0"/>
        <w:kinsoku/>
        <w:wordWrap/>
        <w:overflowPunct/>
        <w:topLinePunct w:val="0"/>
        <w:autoSpaceDE/>
        <w:autoSpaceDN/>
        <w:bidi w:val="0"/>
        <w:adjustRightInd/>
        <w:snapToGrid w:val="0"/>
        <w:spacing w:line="578" w:lineRule="exact"/>
        <w:ind w:firstLine="1580" w:firstLineChars="500"/>
        <w:jc w:val="both"/>
        <w:textAlignment w:val="auto"/>
        <w:rPr>
          <w:rFonts w:hint="eastAsia" w:ascii="仿宋_GB2312" w:hAnsi="仿宋_GB2312" w:cs="仿宋_GB2312"/>
          <w:sz w:val="32"/>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cs="仿宋_GB2312"/>
          <w:sz w:val="32"/>
          <w:lang w:val="en-US" w:eastAsia="zh-CN"/>
        </w:rPr>
        <w:t>.</w:t>
      </w:r>
      <w:r>
        <w:rPr>
          <w:rFonts w:hint="eastAsia" w:ascii="仿宋_GB2312" w:hAnsi="仿宋_GB2312" w:cs="仿宋_GB2312"/>
          <w:sz w:val="32"/>
        </w:rPr>
        <w:t>天津市民营医疗机构依法执业规范诊疗</w:t>
      </w:r>
    </w:p>
    <w:p w14:paraId="2CB2782A">
      <w:pPr>
        <w:pStyle w:val="3"/>
        <w:keepNext w:val="0"/>
        <w:keepLines w:val="0"/>
        <w:pageBreakBefore w:val="0"/>
        <w:widowControl w:val="0"/>
        <w:kinsoku/>
        <w:wordWrap/>
        <w:overflowPunct/>
        <w:topLinePunct w:val="0"/>
        <w:autoSpaceDE/>
        <w:autoSpaceDN/>
        <w:bidi w:val="0"/>
        <w:adjustRightInd/>
        <w:snapToGrid w:val="0"/>
        <w:spacing w:line="578" w:lineRule="exact"/>
        <w:ind w:firstLine="1896" w:firstLineChars="600"/>
        <w:jc w:val="both"/>
        <w:textAlignment w:val="auto"/>
        <w:rPr>
          <w:rFonts w:hint="eastAsia" w:ascii="仿宋_GB2312" w:hAnsi="仿宋_GB2312" w:cs="仿宋_GB2312"/>
          <w:sz w:val="32"/>
        </w:rPr>
      </w:pPr>
      <w:r>
        <w:rPr>
          <w:rFonts w:hint="eastAsia" w:ascii="仿宋_GB2312" w:hAnsi="仿宋_GB2312" w:cs="仿宋_GB2312"/>
          <w:sz w:val="32"/>
        </w:rPr>
        <w:t>专项检查表</w:t>
      </w:r>
    </w:p>
    <w:p w14:paraId="0D156925">
      <w:pPr>
        <w:pStyle w:val="3"/>
        <w:keepNext w:val="0"/>
        <w:keepLines w:val="0"/>
        <w:pageBreakBefore w:val="0"/>
        <w:widowControl w:val="0"/>
        <w:kinsoku/>
        <w:wordWrap/>
        <w:overflowPunct/>
        <w:topLinePunct w:val="0"/>
        <w:autoSpaceDE/>
        <w:autoSpaceDN/>
        <w:bidi w:val="0"/>
        <w:adjustRightInd/>
        <w:snapToGrid w:val="0"/>
        <w:spacing w:line="578" w:lineRule="exact"/>
        <w:ind w:left="1896" w:leftChars="500" w:hanging="316" w:hangingChars="100"/>
        <w:jc w:val="both"/>
        <w:textAlignment w:val="auto"/>
        <w:rPr>
          <w:rFonts w:hint="eastAsia" w:ascii="仿宋_GB2312" w:hAnsi="仿宋_GB2312" w:cs="仿宋_GB2312"/>
          <w:sz w:val="32"/>
        </w:rPr>
      </w:pPr>
      <w:r>
        <w:rPr>
          <w:rFonts w:hint="eastAsia" w:ascii="Times New Roman" w:hAnsi="Times New Roman" w:eastAsia="仿宋_GB2312" w:cs="Times New Roman"/>
          <w:kern w:val="2"/>
          <w:sz w:val="32"/>
          <w:szCs w:val="32"/>
          <w:lang w:val="en-US" w:eastAsia="zh-CN" w:bidi="ar-SA"/>
        </w:rPr>
        <w:t>6</w:t>
      </w:r>
      <w:r>
        <w:rPr>
          <w:rFonts w:hint="eastAsia" w:ascii="仿宋_GB2312" w:hAnsi="仿宋_GB2312" w:cs="仿宋_GB2312"/>
          <w:sz w:val="32"/>
        </w:rPr>
        <w:t>.天津市民营医疗机构依法执业规范诊疗</w:t>
      </w:r>
    </w:p>
    <w:p w14:paraId="79BA044A">
      <w:pPr>
        <w:pStyle w:val="3"/>
        <w:keepNext w:val="0"/>
        <w:keepLines w:val="0"/>
        <w:pageBreakBefore w:val="0"/>
        <w:widowControl w:val="0"/>
        <w:kinsoku/>
        <w:wordWrap/>
        <w:overflowPunct/>
        <w:topLinePunct w:val="0"/>
        <w:autoSpaceDE/>
        <w:autoSpaceDN/>
        <w:bidi w:val="0"/>
        <w:adjustRightInd/>
        <w:snapToGrid w:val="0"/>
        <w:spacing w:line="578" w:lineRule="exact"/>
        <w:ind w:firstLine="1896" w:firstLineChars="600"/>
        <w:jc w:val="both"/>
        <w:textAlignment w:val="auto"/>
        <w:rPr>
          <w:rFonts w:hint="eastAsia" w:ascii="仿宋_GB2312" w:hAnsi="仿宋_GB2312" w:cs="仿宋_GB2312"/>
          <w:sz w:val="32"/>
        </w:rPr>
      </w:pPr>
      <w:r>
        <w:rPr>
          <w:rFonts w:hint="eastAsia" w:ascii="仿宋_GB2312" w:hAnsi="仿宋_GB2312" w:cs="仿宋_GB2312"/>
          <w:sz w:val="32"/>
        </w:rPr>
        <w:t>专项检查 发现问题汇总表</w:t>
      </w:r>
    </w:p>
    <w:p w14:paraId="65B5C24C">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1579" w:leftChars="0"/>
        <w:jc w:val="both"/>
        <w:textAlignment w:val="auto"/>
        <w:rPr>
          <w:rFonts w:hint="eastAsia" w:ascii="仿宋_GB2312" w:hAnsi="仿宋_GB2312" w:cs="仿宋_GB2312"/>
          <w:sz w:val="32"/>
          <w:lang w:eastAsia="zh-CN"/>
        </w:rPr>
      </w:pPr>
      <w:r>
        <w:rPr>
          <w:rFonts w:hint="eastAsia" w:ascii="Times New Roman" w:hAnsi="Times New Roman" w:eastAsia="仿宋_GB2312" w:cs="Times New Roman"/>
          <w:kern w:val="2"/>
          <w:sz w:val="32"/>
          <w:szCs w:val="32"/>
          <w:lang w:val="en-US" w:eastAsia="zh-CN" w:bidi="ar-SA"/>
        </w:rPr>
        <w:t>7</w:t>
      </w:r>
      <w:r>
        <w:rPr>
          <w:rFonts w:hint="eastAsia" w:ascii="仿宋_GB2312" w:hAnsi="仿宋_GB2312" w:cs="仿宋_GB2312"/>
          <w:sz w:val="32"/>
          <w:lang w:val="en-US" w:eastAsia="zh-CN"/>
        </w:rPr>
        <w:t>.</w:t>
      </w:r>
      <w:r>
        <w:rPr>
          <w:rFonts w:hint="default" w:ascii="Times New Roman" w:hAnsi="Times New Roman" w:cs="Times New Roman"/>
          <w:sz w:val="32"/>
        </w:rPr>
        <w:t>XXX</w:t>
      </w:r>
      <w:r>
        <w:rPr>
          <w:rFonts w:hint="eastAsia" w:ascii="仿宋_GB2312" w:hAnsi="仿宋_GB2312" w:cs="仿宋_GB2312"/>
          <w:sz w:val="32"/>
        </w:rPr>
        <w:t>工作室、单位依法执业规范诊疗</w:t>
      </w:r>
      <w:r>
        <w:rPr>
          <w:rFonts w:hint="eastAsia" w:ascii="仿宋_GB2312" w:hAnsi="仿宋_GB2312" w:cs="仿宋_GB2312"/>
          <w:sz w:val="32"/>
          <w:lang w:eastAsia="zh-CN"/>
        </w:rPr>
        <w:t>专项</w:t>
      </w:r>
    </w:p>
    <w:p w14:paraId="4AD1F2C6">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1579" w:leftChars="0" w:firstLine="316" w:firstLineChars="100"/>
        <w:jc w:val="both"/>
        <w:textAlignment w:val="auto"/>
        <w:rPr>
          <w:rFonts w:hint="eastAsia" w:ascii="仿宋_GB2312" w:hAnsi="仿宋_GB2312" w:cs="仿宋_GB2312"/>
          <w:sz w:val="32"/>
        </w:rPr>
      </w:pPr>
      <w:r>
        <w:rPr>
          <w:rFonts w:hint="eastAsia" w:ascii="仿宋_GB2312" w:hAnsi="仿宋_GB2312" w:cs="仿宋_GB2312"/>
          <w:sz w:val="32"/>
        </w:rPr>
        <w:t>检查工作总结（模板）</w:t>
      </w:r>
    </w:p>
    <w:p w14:paraId="55FAE9F1">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jc w:val="both"/>
        <w:textAlignment w:val="auto"/>
        <w:rPr>
          <w:rFonts w:hint="eastAsia" w:ascii="仿宋_GB2312" w:hAnsi="仿宋_GB2312" w:eastAsia="仿宋_GB2312" w:cs="仿宋_GB2312"/>
          <w:sz w:val="32"/>
          <w:lang w:val="en-US" w:eastAsia="zh-CN"/>
        </w:rPr>
      </w:pPr>
    </w:p>
    <w:p w14:paraId="29AF0B29">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jc w:val="both"/>
        <w:textAlignment w:val="auto"/>
        <w:rPr>
          <w:rFonts w:hint="eastAsia" w:ascii="仿宋_GB2312" w:hAnsi="仿宋_GB2312" w:cs="仿宋_GB2312"/>
          <w:sz w:val="32"/>
        </w:rPr>
      </w:pPr>
    </w:p>
    <w:p w14:paraId="4A57DE8E">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jc w:val="both"/>
        <w:textAlignment w:val="auto"/>
        <w:rPr>
          <w:rFonts w:hint="eastAsia" w:ascii="仿宋_GB2312" w:hAnsi="仿宋_GB2312" w:cs="仿宋_GB2312"/>
          <w:sz w:val="32"/>
        </w:rPr>
      </w:pPr>
    </w:p>
    <w:p w14:paraId="01C4718B">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ascii="Times New Roman" w:hAnsi="Times New Roman" w:cs="Times New Roman"/>
        </w:rPr>
      </w:pPr>
    </w:p>
    <w:p w14:paraId="23A49A4F">
      <w:pPr>
        <w:pStyle w:val="3"/>
        <w:keepNext w:val="0"/>
        <w:keepLines w:val="0"/>
        <w:pageBreakBefore w:val="0"/>
        <w:widowControl w:val="0"/>
        <w:kinsoku/>
        <w:wordWrap/>
        <w:overflowPunct/>
        <w:topLinePunct w:val="0"/>
        <w:autoSpaceDE/>
        <w:autoSpaceDN/>
        <w:bidi w:val="0"/>
        <w:adjustRightInd/>
        <w:snapToGrid w:val="0"/>
        <w:spacing w:line="578" w:lineRule="exact"/>
        <w:textAlignment w:val="auto"/>
        <w:rPr>
          <w:rFonts w:ascii="Times New Roman" w:hAnsi="Times New Roman" w:cs="Times New Roman"/>
        </w:rPr>
      </w:pPr>
    </w:p>
    <w:p w14:paraId="27B70984">
      <w:pPr>
        <w:pStyle w:val="3"/>
        <w:rPr>
          <w:rFonts w:ascii="Times New Roman" w:hAnsi="Times New Roman" w:cs="Times New Roman"/>
        </w:rPr>
      </w:pPr>
    </w:p>
    <w:p w14:paraId="396DF0D5">
      <w:pPr>
        <w:pStyle w:val="3"/>
        <w:rPr>
          <w:rFonts w:ascii="Times New Roman" w:hAnsi="Times New Roman" w:cs="Times New Roman"/>
        </w:rPr>
      </w:pPr>
    </w:p>
    <w:p w14:paraId="4A9050EB">
      <w:pPr>
        <w:pStyle w:val="3"/>
        <w:rPr>
          <w:rFonts w:ascii="Times New Roman" w:hAnsi="Times New Roman" w:cs="Times New Roman"/>
        </w:rPr>
      </w:pPr>
    </w:p>
    <w:p w14:paraId="21A27528">
      <w:pPr>
        <w:pStyle w:val="3"/>
        <w:rPr>
          <w:rFonts w:ascii="Times New Roman" w:hAnsi="Times New Roman" w:cs="Times New Roman"/>
        </w:rPr>
      </w:pPr>
    </w:p>
    <w:p w14:paraId="3B7D94C8">
      <w:pPr>
        <w:pStyle w:val="3"/>
        <w:rPr>
          <w:rFonts w:ascii="Times New Roman" w:hAnsi="Times New Roman" w:cs="Times New Roman"/>
        </w:rPr>
      </w:pPr>
    </w:p>
    <w:p w14:paraId="6219B9CE">
      <w:pPr>
        <w:pStyle w:val="3"/>
        <w:rPr>
          <w:rFonts w:ascii="Times New Roman" w:hAnsi="Times New Roman" w:cs="Times New Roman"/>
        </w:rPr>
      </w:pPr>
    </w:p>
    <w:p w14:paraId="7B3E508F">
      <w:pPr>
        <w:pStyle w:val="3"/>
        <w:rPr>
          <w:rFonts w:ascii="Times New Roman" w:hAnsi="Times New Roman" w:cs="Times New Roman"/>
        </w:rPr>
      </w:pPr>
    </w:p>
    <w:p w14:paraId="61F7B0BD">
      <w:pPr>
        <w:pStyle w:val="3"/>
        <w:rPr>
          <w:rFonts w:ascii="Times New Roman" w:hAnsi="Times New Roman" w:cs="Times New Roman"/>
        </w:rPr>
      </w:pPr>
    </w:p>
    <w:p w14:paraId="45F24B24">
      <w:pPr>
        <w:pStyle w:val="3"/>
        <w:rPr>
          <w:rFonts w:ascii="Times New Roman" w:hAnsi="Times New Roman" w:cs="Times New Roman"/>
        </w:rPr>
      </w:pPr>
    </w:p>
    <w:p w14:paraId="539E8B75">
      <w:pPr>
        <w:pStyle w:val="3"/>
        <w:rPr>
          <w:rFonts w:ascii="Times New Roman" w:hAnsi="Times New Roman" w:cs="Times New Roman"/>
        </w:rPr>
      </w:pPr>
    </w:p>
    <w:p w14:paraId="682CB75E">
      <w:pPr>
        <w:pStyle w:val="3"/>
        <w:rPr>
          <w:rFonts w:ascii="Times New Roman" w:hAnsi="Times New Roman" w:cs="Times New Roman"/>
        </w:rPr>
      </w:pPr>
    </w:p>
    <w:p w14:paraId="7BFD5697">
      <w:pPr>
        <w:pStyle w:val="3"/>
        <w:rPr>
          <w:rFonts w:ascii="Times New Roman" w:hAnsi="Times New Roman" w:cs="Times New Roman"/>
        </w:rPr>
      </w:pPr>
    </w:p>
    <w:p w14:paraId="4EF555C5">
      <w:pPr>
        <w:pStyle w:val="3"/>
        <w:rPr>
          <w:rFonts w:ascii="Times New Roman" w:hAnsi="Times New Roman" w:cs="Times New Roman"/>
        </w:rPr>
      </w:pPr>
    </w:p>
    <w:p w14:paraId="0F6F4741">
      <w:pPr>
        <w:pStyle w:val="3"/>
        <w:rPr>
          <w:rFonts w:ascii="Times New Roman" w:hAnsi="Times New Roman" w:cs="Times New Roman"/>
        </w:rPr>
      </w:pPr>
    </w:p>
    <w:p w14:paraId="51E41681">
      <w:pPr>
        <w:pStyle w:val="3"/>
        <w:rPr>
          <w:rFonts w:ascii="Times New Roman" w:hAnsi="Times New Roman" w:cs="Times New Roman"/>
        </w:rPr>
      </w:pPr>
    </w:p>
    <w:p w14:paraId="2A41F3BF">
      <w:pPr>
        <w:pStyle w:val="3"/>
        <w:rPr>
          <w:rFonts w:ascii="Times New Roman" w:hAnsi="Times New Roman" w:cs="Times New Roman"/>
        </w:rPr>
      </w:pPr>
    </w:p>
    <w:p w14:paraId="49C46029">
      <w:pPr>
        <w:pStyle w:val="3"/>
        <w:rPr>
          <w:rFonts w:ascii="Times New Roman" w:hAnsi="Times New Roman" w:cs="Times New Roman"/>
        </w:rPr>
      </w:pPr>
    </w:p>
    <w:p w14:paraId="30277F53">
      <w:pPr>
        <w:pStyle w:val="3"/>
        <w:rPr>
          <w:rFonts w:ascii="Times New Roman" w:hAnsi="Times New Roman" w:cs="Times New Roman"/>
        </w:rPr>
      </w:pPr>
    </w:p>
    <w:p w14:paraId="0D62BDCE">
      <w:pPr>
        <w:pStyle w:val="3"/>
        <w:rPr>
          <w:rFonts w:ascii="Times New Roman" w:hAnsi="Times New Roman" w:cs="Times New Roman"/>
        </w:rPr>
      </w:pPr>
    </w:p>
    <w:p w14:paraId="7D7AEF28">
      <w:pPr>
        <w:pStyle w:val="3"/>
        <w:rPr>
          <w:rFonts w:ascii="Times New Roman" w:hAnsi="Times New Roman" w:cs="Times New Roman"/>
        </w:rPr>
      </w:pPr>
    </w:p>
    <w:p w14:paraId="2D12DF3B">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附件1</w:t>
      </w:r>
    </w:p>
    <w:p w14:paraId="1B527CE2">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eastAsia" w:ascii="黑体" w:hAnsi="黑体" w:eastAsia="黑体" w:cs="黑体"/>
          <w:sz w:val="32"/>
          <w:lang w:val="en-US" w:eastAsia="zh-CN"/>
        </w:rPr>
      </w:pPr>
    </w:p>
    <w:p w14:paraId="5315EC3F">
      <w:pPr>
        <w:pStyle w:val="3"/>
        <w:keepNext w:val="0"/>
        <w:keepLines w:val="0"/>
        <w:pageBreakBefore w:val="0"/>
        <w:widowControl w:val="0"/>
        <w:kinsoku/>
        <w:wordWrap/>
        <w:overflowPunct/>
        <w:topLinePunct w:val="0"/>
        <w:autoSpaceDE/>
        <w:autoSpaceDN/>
        <w:bidi w:val="0"/>
        <w:adjustRightInd/>
        <w:snapToGrid w:val="0"/>
        <w:spacing w:line="578" w:lineRule="exact"/>
        <w:ind w:firstLine="1896" w:firstLineChars="600"/>
        <w:jc w:val="both"/>
        <w:textAlignment w:val="auto"/>
        <w:rPr>
          <w:rFonts w:hint="eastAsia" w:ascii="黑体" w:hAnsi="黑体" w:eastAsia="黑体" w:cs="黑体"/>
          <w:sz w:val="32"/>
        </w:rPr>
      </w:pPr>
      <w:r>
        <w:rPr>
          <w:rFonts w:hint="eastAsia" w:ascii="黑体" w:hAnsi="黑体" w:eastAsia="黑体" w:cs="黑体"/>
          <w:sz w:val="32"/>
          <w:lang w:eastAsia="zh-CN"/>
        </w:rPr>
        <w:t>滨海新区检查</w:t>
      </w:r>
      <w:r>
        <w:rPr>
          <w:rFonts w:hint="eastAsia" w:ascii="黑体" w:hAnsi="黑体" w:eastAsia="黑体" w:cs="黑体"/>
          <w:sz w:val="32"/>
        </w:rPr>
        <w:t>一级及以上民营医院列表</w:t>
      </w:r>
    </w:p>
    <w:p w14:paraId="1B03AD46">
      <w:pPr>
        <w:pStyle w:val="3"/>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w:t>
      </w:r>
    </w:p>
    <w:tbl>
      <w:tblPr>
        <w:tblStyle w:val="7"/>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700"/>
      </w:tblGrid>
      <w:tr w14:paraId="3F47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B01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5D6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机构名称</w:t>
            </w:r>
          </w:p>
        </w:tc>
      </w:tr>
      <w:tr w14:paraId="538A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EAF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391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天津滨海新区昌盛中医医院</w:t>
            </w:r>
          </w:p>
        </w:tc>
      </w:tr>
      <w:tr w14:paraId="0088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D5B">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6E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天津滨海新区康宁医院</w:t>
            </w:r>
          </w:p>
        </w:tc>
      </w:tr>
      <w:tr w14:paraId="32AA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6AD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BF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天津滨海新区阳光爱心医院</w:t>
            </w:r>
          </w:p>
        </w:tc>
      </w:tr>
      <w:tr w14:paraId="5143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1CB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3D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天津福兴医院</w:t>
            </w:r>
          </w:p>
        </w:tc>
      </w:tr>
      <w:tr w14:paraId="3C3C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7DF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70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天津滨海塘沽滨港医院</w:t>
            </w:r>
          </w:p>
        </w:tc>
      </w:tr>
      <w:tr w14:paraId="5C7A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4C5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39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天津塘沽宁泰医院</w:t>
            </w:r>
          </w:p>
        </w:tc>
      </w:tr>
      <w:tr w14:paraId="47AC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D2F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4B1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天津滨海国泰眼科医院</w:t>
            </w:r>
          </w:p>
        </w:tc>
      </w:tr>
      <w:tr w14:paraId="1CEA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A22B">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33C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天津滨海新区安琪妇产医院</w:t>
            </w:r>
          </w:p>
        </w:tc>
      </w:tr>
      <w:tr w14:paraId="32C1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205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21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天津滨海新区海滨中医医院</w:t>
            </w:r>
          </w:p>
        </w:tc>
      </w:tr>
      <w:tr w14:paraId="58DB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394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E92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天津滨海塘大眼科医院</w:t>
            </w:r>
          </w:p>
        </w:tc>
      </w:tr>
      <w:tr w14:paraId="5BF2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47F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9F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天津滨海新区东江医院</w:t>
            </w:r>
          </w:p>
        </w:tc>
      </w:tr>
      <w:tr w14:paraId="2879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904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E03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天津滨海益薪医院</w:t>
            </w:r>
          </w:p>
        </w:tc>
      </w:tr>
      <w:tr w14:paraId="1E64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722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C7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天津博寿堂中医医院</w:t>
            </w:r>
          </w:p>
        </w:tc>
      </w:tr>
      <w:tr w14:paraId="0DD2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B0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DC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天津滨海佳茗医院</w:t>
            </w:r>
          </w:p>
        </w:tc>
      </w:tr>
      <w:tr w14:paraId="2BC6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7B2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15</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C3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天津铭远医院</w:t>
            </w:r>
          </w:p>
        </w:tc>
      </w:tr>
      <w:tr w14:paraId="02B4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A26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C76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天津滨海世纪医院</w:t>
            </w:r>
          </w:p>
        </w:tc>
      </w:tr>
      <w:tr w14:paraId="77B5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0D3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17</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EF1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天津和成医院</w:t>
            </w:r>
          </w:p>
        </w:tc>
      </w:tr>
      <w:tr w14:paraId="0EE1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2E7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18</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157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天津华兴医院</w:t>
            </w:r>
          </w:p>
        </w:tc>
      </w:tr>
      <w:tr w14:paraId="6F02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535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19</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094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天津北大医疗海洋石油医院</w:t>
            </w:r>
          </w:p>
        </w:tc>
      </w:tr>
      <w:tr w14:paraId="3637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C57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B01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天津滨海建华精神病医院</w:t>
            </w:r>
          </w:p>
        </w:tc>
      </w:tr>
      <w:tr w14:paraId="1325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B6D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21</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986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天津滨海荣华中医医院</w:t>
            </w:r>
          </w:p>
        </w:tc>
      </w:tr>
      <w:tr w14:paraId="0716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7D6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02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天津自贸试验区环海医院</w:t>
            </w:r>
          </w:p>
        </w:tc>
      </w:tr>
      <w:tr w14:paraId="5D6C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CA9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23</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D09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天津北创民众医院</w:t>
            </w:r>
          </w:p>
        </w:tc>
      </w:tr>
    </w:tbl>
    <w:p w14:paraId="630F5586">
      <w:pPr>
        <w:pStyle w:val="3"/>
        <w:jc w:val="center"/>
        <w:rPr>
          <w:rFonts w:hint="eastAsia" w:ascii="仿宋_GB2312" w:hAnsi="仿宋_GB2312" w:eastAsia="仿宋_GB2312" w:cs="仿宋_GB2312"/>
          <w:kern w:val="2"/>
          <w:sz w:val="32"/>
          <w:szCs w:val="32"/>
          <w:lang w:val="en-US" w:eastAsia="zh-CN" w:bidi="ar-SA"/>
        </w:rPr>
      </w:pPr>
    </w:p>
    <w:p w14:paraId="7E9CC594">
      <w:pPr>
        <w:pStyle w:val="3"/>
        <w:rPr>
          <w:rFonts w:hint="eastAsia" w:ascii="仿宋_GB2312" w:hAnsi="仿宋_GB2312" w:eastAsia="仿宋_GB2312" w:cs="仿宋_GB2312"/>
          <w:kern w:val="2"/>
          <w:sz w:val="32"/>
          <w:szCs w:val="32"/>
          <w:lang w:val="en-US" w:eastAsia="zh-CN" w:bidi="ar-SA"/>
        </w:rPr>
      </w:pPr>
    </w:p>
    <w:p w14:paraId="4D436ACC">
      <w:pPr>
        <w:pStyle w:val="3"/>
        <w:rPr>
          <w:rFonts w:hint="eastAsia" w:ascii="仿宋_GB2312" w:hAnsi="仿宋_GB2312" w:eastAsia="仿宋_GB2312" w:cs="仿宋_GB2312"/>
          <w:kern w:val="2"/>
          <w:sz w:val="32"/>
          <w:szCs w:val="32"/>
          <w:lang w:val="en-US" w:eastAsia="zh-CN" w:bidi="ar-SA"/>
        </w:rPr>
      </w:pPr>
    </w:p>
    <w:p w14:paraId="6CCAFC26">
      <w:pPr>
        <w:pStyle w:val="3"/>
        <w:rPr>
          <w:rFonts w:hint="eastAsia" w:ascii="仿宋_GB2312" w:hAnsi="仿宋_GB2312" w:eastAsia="仿宋_GB2312" w:cs="仿宋_GB2312"/>
          <w:kern w:val="2"/>
          <w:sz w:val="32"/>
          <w:szCs w:val="32"/>
          <w:lang w:val="en-US" w:eastAsia="zh-CN" w:bidi="ar-SA"/>
        </w:rPr>
      </w:pPr>
    </w:p>
    <w:p w14:paraId="2EE24AA8">
      <w:pPr>
        <w:pStyle w:val="3"/>
        <w:rPr>
          <w:rFonts w:hint="eastAsia" w:ascii="仿宋_GB2312" w:hAnsi="仿宋_GB2312" w:eastAsia="仿宋_GB2312" w:cs="仿宋_GB2312"/>
          <w:kern w:val="2"/>
          <w:sz w:val="32"/>
          <w:szCs w:val="32"/>
          <w:lang w:val="en-US" w:eastAsia="zh-CN" w:bidi="ar-SA"/>
        </w:rPr>
      </w:pPr>
    </w:p>
    <w:p w14:paraId="5B150949">
      <w:pPr>
        <w:pStyle w:val="3"/>
        <w:rPr>
          <w:rFonts w:hint="eastAsia" w:ascii="仿宋_GB2312" w:hAnsi="仿宋_GB2312" w:eastAsia="仿宋_GB2312" w:cs="仿宋_GB2312"/>
          <w:kern w:val="2"/>
          <w:sz w:val="32"/>
          <w:szCs w:val="32"/>
          <w:lang w:val="en-US" w:eastAsia="zh-CN" w:bidi="ar-SA"/>
        </w:rPr>
      </w:pPr>
    </w:p>
    <w:p w14:paraId="6C289860">
      <w:pPr>
        <w:pStyle w:val="3"/>
        <w:rPr>
          <w:rFonts w:hint="eastAsia" w:ascii="仿宋_GB2312" w:hAnsi="仿宋_GB2312" w:eastAsia="仿宋_GB2312" w:cs="仿宋_GB2312"/>
          <w:kern w:val="2"/>
          <w:sz w:val="32"/>
          <w:szCs w:val="32"/>
          <w:lang w:val="en-US" w:eastAsia="zh-CN" w:bidi="ar-SA"/>
        </w:rPr>
      </w:pPr>
    </w:p>
    <w:p w14:paraId="05383498">
      <w:pPr>
        <w:pStyle w:val="3"/>
        <w:rPr>
          <w:rFonts w:hint="eastAsia" w:ascii="仿宋_GB2312" w:hAnsi="仿宋_GB2312" w:eastAsia="仿宋_GB2312" w:cs="仿宋_GB2312"/>
          <w:kern w:val="2"/>
          <w:sz w:val="32"/>
          <w:szCs w:val="32"/>
          <w:lang w:val="en-US" w:eastAsia="zh-CN" w:bidi="ar-SA"/>
        </w:rPr>
      </w:pPr>
    </w:p>
    <w:p w14:paraId="1CBD2670">
      <w:pPr>
        <w:pStyle w:val="3"/>
        <w:rPr>
          <w:rFonts w:hint="eastAsia" w:ascii="仿宋_GB2312" w:hAnsi="仿宋_GB2312" w:eastAsia="仿宋_GB2312" w:cs="仿宋_GB2312"/>
          <w:kern w:val="2"/>
          <w:sz w:val="32"/>
          <w:szCs w:val="32"/>
          <w:lang w:val="en-US" w:eastAsia="zh-CN" w:bidi="ar-SA"/>
        </w:rPr>
      </w:pPr>
    </w:p>
    <w:p w14:paraId="1E1283AA">
      <w:pPr>
        <w:pStyle w:val="3"/>
        <w:rPr>
          <w:rFonts w:hint="eastAsia" w:ascii="仿宋_GB2312" w:hAnsi="仿宋_GB2312" w:eastAsia="仿宋_GB2312" w:cs="仿宋_GB2312"/>
          <w:kern w:val="2"/>
          <w:sz w:val="32"/>
          <w:szCs w:val="32"/>
          <w:lang w:val="en-US" w:eastAsia="zh-CN" w:bidi="ar-SA"/>
        </w:rPr>
      </w:pPr>
    </w:p>
    <w:p w14:paraId="0A65B946">
      <w:pPr>
        <w:pStyle w:val="3"/>
        <w:rPr>
          <w:rFonts w:hint="eastAsia" w:ascii="仿宋_GB2312" w:hAnsi="仿宋_GB2312" w:eastAsia="仿宋_GB2312" w:cs="仿宋_GB2312"/>
          <w:kern w:val="2"/>
          <w:sz w:val="32"/>
          <w:szCs w:val="32"/>
          <w:lang w:val="en-US" w:eastAsia="zh-CN" w:bidi="ar-SA"/>
        </w:rPr>
      </w:pPr>
    </w:p>
    <w:p w14:paraId="16387A04">
      <w:pPr>
        <w:pStyle w:val="3"/>
        <w:rPr>
          <w:rFonts w:hint="eastAsia" w:ascii="仿宋_GB2312" w:hAnsi="仿宋_GB2312" w:eastAsia="仿宋_GB2312" w:cs="仿宋_GB2312"/>
          <w:kern w:val="2"/>
          <w:sz w:val="32"/>
          <w:szCs w:val="32"/>
          <w:lang w:val="en-US" w:eastAsia="zh-CN" w:bidi="ar-SA"/>
        </w:rPr>
      </w:pPr>
    </w:p>
    <w:p w14:paraId="22613165">
      <w:pPr>
        <w:pStyle w:val="3"/>
        <w:rPr>
          <w:rFonts w:hint="eastAsia" w:ascii="仿宋_GB2312" w:hAnsi="仿宋_GB2312" w:eastAsia="仿宋_GB2312" w:cs="仿宋_GB2312"/>
          <w:kern w:val="2"/>
          <w:sz w:val="32"/>
          <w:szCs w:val="32"/>
          <w:lang w:val="en-US" w:eastAsia="zh-CN" w:bidi="ar-SA"/>
        </w:rPr>
      </w:pPr>
    </w:p>
    <w:p w14:paraId="66EADE9C">
      <w:pPr>
        <w:pStyle w:val="3"/>
        <w:rPr>
          <w:rFonts w:hint="eastAsia" w:ascii="仿宋_GB2312" w:hAnsi="仿宋_GB2312" w:eastAsia="仿宋_GB2312" w:cs="仿宋_GB2312"/>
          <w:kern w:val="2"/>
          <w:sz w:val="32"/>
          <w:szCs w:val="32"/>
          <w:lang w:val="en-US" w:eastAsia="zh-CN" w:bidi="ar-SA"/>
        </w:rPr>
      </w:pPr>
    </w:p>
    <w:p w14:paraId="20B06A6C">
      <w:pPr>
        <w:pStyle w:val="3"/>
        <w:rPr>
          <w:rFonts w:hint="eastAsia" w:ascii="仿宋_GB2312" w:hAnsi="仿宋_GB2312" w:eastAsia="仿宋_GB2312" w:cs="仿宋_GB2312"/>
          <w:kern w:val="2"/>
          <w:sz w:val="32"/>
          <w:szCs w:val="32"/>
          <w:lang w:val="en-US" w:eastAsia="zh-CN" w:bidi="ar-SA"/>
        </w:rPr>
      </w:pPr>
    </w:p>
    <w:p w14:paraId="3CD6683F">
      <w:pPr>
        <w:pStyle w:val="3"/>
        <w:rPr>
          <w:rFonts w:hint="eastAsia" w:ascii="仿宋_GB2312" w:hAnsi="仿宋_GB2312" w:eastAsia="仿宋_GB2312" w:cs="仿宋_GB2312"/>
          <w:kern w:val="2"/>
          <w:sz w:val="32"/>
          <w:szCs w:val="32"/>
          <w:lang w:val="en-US" w:eastAsia="zh-CN" w:bidi="ar-SA"/>
        </w:rPr>
      </w:pPr>
    </w:p>
    <w:p w14:paraId="7AA34CBF">
      <w:pPr>
        <w:pStyle w:val="3"/>
        <w:rPr>
          <w:rFonts w:hint="eastAsia" w:ascii="仿宋_GB2312" w:hAnsi="仿宋_GB2312" w:eastAsia="仿宋_GB2312" w:cs="仿宋_GB2312"/>
          <w:kern w:val="2"/>
          <w:sz w:val="32"/>
          <w:szCs w:val="32"/>
          <w:lang w:val="en-US" w:eastAsia="zh-CN" w:bidi="ar-SA"/>
        </w:rPr>
      </w:pPr>
    </w:p>
    <w:p w14:paraId="1FDE5DF3">
      <w:pPr>
        <w:pStyle w:val="3"/>
        <w:rPr>
          <w:rFonts w:hint="eastAsia" w:ascii="仿宋_GB2312" w:hAnsi="仿宋_GB2312" w:eastAsia="仿宋_GB2312" w:cs="仿宋_GB2312"/>
          <w:kern w:val="2"/>
          <w:sz w:val="32"/>
          <w:szCs w:val="32"/>
          <w:lang w:val="en-US" w:eastAsia="zh-CN" w:bidi="ar-SA"/>
        </w:rPr>
      </w:pPr>
    </w:p>
    <w:p w14:paraId="40D492B2">
      <w:pPr>
        <w:pStyle w:val="3"/>
        <w:rPr>
          <w:rFonts w:hint="eastAsia" w:ascii="仿宋_GB2312" w:hAnsi="仿宋_GB2312" w:eastAsia="仿宋_GB2312" w:cs="仿宋_GB2312"/>
          <w:kern w:val="2"/>
          <w:sz w:val="32"/>
          <w:szCs w:val="32"/>
          <w:lang w:val="en-US" w:eastAsia="zh-CN" w:bidi="ar-SA"/>
        </w:rPr>
      </w:pPr>
    </w:p>
    <w:p w14:paraId="697500DF">
      <w:pPr>
        <w:pStyle w:val="3"/>
        <w:rPr>
          <w:rFonts w:hint="eastAsia" w:ascii="仿宋_GB2312" w:hAnsi="仿宋_GB2312" w:eastAsia="仿宋_GB2312" w:cs="仿宋_GB2312"/>
          <w:kern w:val="2"/>
          <w:sz w:val="32"/>
          <w:szCs w:val="32"/>
          <w:lang w:val="en-US" w:eastAsia="zh-CN" w:bidi="ar-SA"/>
        </w:rPr>
      </w:pPr>
    </w:p>
    <w:p w14:paraId="28828782">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00E5A697">
      <w:pPr>
        <w:pStyle w:val="3"/>
        <w:rPr>
          <w:rFonts w:hint="eastAsia" w:ascii="仿宋_GB2312" w:hAnsi="仿宋_GB2312" w:cs="仿宋_GB2312"/>
          <w:kern w:val="2"/>
          <w:sz w:val="32"/>
          <w:szCs w:val="32"/>
          <w:lang w:val="en-US" w:eastAsia="zh-CN" w:bidi="ar-SA"/>
        </w:rPr>
      </w:pPr>
    </w:p>
    <w:p w14:paraId="4DEFEA72">
      <w:pPr>
        <w:pStyle w:val="3"/>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center"/>
        <w:textAlignment w:val="auto"/>
        <w:rPr>
          <w:rFonts w:hint="eastAsia" w:ascii="仿宋_GB2312" w:hAnsi="仿宋_GB2312" w:cs="仿宋_GB2312"/>
          <w:kern w:val="2"/>
          <w:sz w:val="32"/>
          <w:szCs w:val="32"/>
          <w:lang w:val="en-US" w:eastAsia="zh-CN" w:bidi="ar-SA"/>
        </w:rPr>
      </w:pPr>
      <w:r>
        <w:rPr>
          <w:rFonts w:hint="eastAsia" w:ascii="黑体" w:hAnsi="黑体" w:eastAsia="黑体" w:cs="黑体"/>
          <w:sz w:val="32"/>
          <w:lang w:val="en-US" w:eastAsia="zh-CN"/>
        </w:rPr>
        <w:t>滨海新区检查互联网医院列表</w:t>
      </w:r>
    </w:p>
    <w:tbl>
      <w:tblPr>
        <w:tblStyle w:val="7"/>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7700"/>
      </w:tblGrid>
      <w:tr w14:paraId="3944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56A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CC4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互联网医院名称</w:t>
            </w:r>
          </w:p>
        </w:tc>
      </w:tr>
      <w:tr w14:paraId="32ED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983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155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天津北大医疗海洋石油医院互联网医院</w:t>
            </w:r>
          </w:p>
        </w:tc>
      </w:tr>
      <w:tr w14:paraId="6BB5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05A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75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天津滨海新区蓝卡互联网医院</w:t>
            </w:r>
          </w:p>
        </w:tc>
      </w:tr>
      <w:tr w14:paraId="5602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67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BB1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天津塘沽德康堂中医门诊部鹿鹿通互联网医院</w:t>
            </w:r>
          </w:p>
        </w:tc>
      </w:tr>
      <w:tr w14:paraId="4D79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B84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040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天津益康堂中医门诊部互联网医院</w:t>
            </w:r>
          </w:p>
        </w:tc>
      </w:tr>
      <w:tr w14:paraId="1B32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5F4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15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天津滨海马光宝山门诊部中怡互联网医院</w:t>
            </w:r>
          </w:p>
        </w:tc>
      </w:tr>
    </w:tbl>
    <w:p w14:paraId="6F2192F5">
      <w:pPr>
        <w:pStyle w:val="3"/>
        <w:rPr>
          <w:rFonts w:hint="default" w:ascii="仿宋_GB2312" w:hAnsi="仿宋_GB2312" w:cs="仿宋_GB2312"/>
          <w:kern w:val="2"/>
          <w:sz w:val="32"/>
          <w:szCs w:val="32"/>
          <w:lang w:val="en-US" w:eastAsia="zh-CN" w:bidi="ar-SA"/>
        </w:rPr>
      </w:pPr>
    </w:p>
    <w:p w14:paraId="61D8FA4B">
      <w:pPr>
        <w:pStyle w:val="3"/>
        <w:rPr>
          <w:rFonts w:hint="default" w:ascii="仿宋_GB2312" w:hAnsi="仿宋_GB2312" w:cs="仿宋_GB2312"/>
          <w:kern w:val="2"/>
          <w:sz w:val="32"/>
          <w:szCs w:val="32"/>
          <w:lang w:val="en-US" w:eastAsia="zh-CN" w:bidi="ar-SA"/>
        </w:rPr>
      </w:pPr>
    </w:p>
    <w:p w14:paraId="43290FEF">
      <w:pPr>
        <w:pStyle w:val="3"/>
        <w:rPr>
          <w:rFonts w:hint="default" w:ascii="仿宋_GB2312" w:hAnsi="仿宋_GB2312" w:cs="仿宋_GB2312"/>
          <w:kern w:val="2"/>
          <w:sz w:val="32"/>
          <w:szCs w:val="32"/>
          <w:lang w:val="en-US" w:eastAsia="zh-CN" w:bidi="ar-SA"/>
        </w:rPr>
      </w:pPr>
    </w:p>
    <w:p w14:paraId="5485AD36">
      <w:pPr>
        <w:pStyle w:val="3"/>
        <w:rPr>
          <w:rFonts w:hint="default" w:ascii="仿宋_GB2312" w:hAnsi="仿宋_GB2312" w:cs="仿宋_GB2312"/>
          <w:kern w:val="2"/>
          <w:sz w:val="32"/>
          <w:szCs w:val="32"/>
          <w:lang w:val="en-US" w:eastAsia="zh-CN" w:bidi="ar-SA"/>
        </w:rPr>
      </w:pPr>
    </w:p>
    <w:p w14:paraId="73BAF5F9">
      <w:pPr>
        <w:pStyle w:val="3"/>
        <w:rPr>
          <w:rFonts w:hint="default" w:ascii="仿宋_GB2312" w:hAnsi="仿宋_GB2312" w:cs="仿宋_GB2312"/>
          <w:kern w:val="2"/>
          <w:sz w:val="32"/>
          <w:szCs w:val="32"/>
          <w:lang w:val="en-US" w:eastAsia="zh-CN" w:bidi="ar-SA"/>
        </w:rPr>
      </w:pPr>
    </w:p>
    <w:p w14:paraId="795D7654">
      <w:pPr>
        <w:pStyle w:val="3"/>
        <w:rPr>
          <w:rFonts w:hint="default" w:ascii="仿宋_GB2312" w:hAnsi="仿宋_GB2312" w:cs="仿宋_GB2312"/>
          <w:kern w:val="2"/>
          <w:sz w:val="32"/>
          <w:szCs w:val="32"/>
          <w:lang w:val="en-US" w:eastAsia="zh-CN" w:bidi="ar-SA"/>
        </w:rPr>
      </w:pPr>
    </w:p>
    <w:p w14:paraId="54C33140">
      <w:pPr>
        <w:pStyle w:val="3"/>
        <w:rPr>
          <w:rFonts w:hint="default" w:ascii="仿宋_GB2312" w:hAnsi="仿宋_GB2312" w:cs="仿宋_GB2312"/>
          <w:kern w:val="2"/>
          <w:sz w:val="32"/>
          <w:szCs w:val="32"/>
          <w:lang w:val="en-US" w:eastAsia="zh-CN" w:bidi="ar-SA"/>
        </w:rPr>
      </w:pPr>
    </w:p>
    <w:p w14:paraId="13397772">
      <w:pPr>
        <w:pStyle w:val="3"/>
        <w:rPr>
          <w:rFonts w:hint="default" w:ascii="仿宋_GB2312" w:hAnsi="仿宋_GB2312" w:cs="仿宋_GB2312"/>
          <w:kern w:val="2"/>
          <w:sz w:val="32"/>
          <w:szCs w:val="32"/>
          <w:lang w:val="en-US" w:eastAsia="zh-CN" w:bidi="ar-SA"/>
        </w:rPr>
      </w:pPr>
    </w:p>
    <w:p w14:paraId="7A0BE851">
      <w:pPr>
        <w:pStyle w:val="3"/>
        <w:rPr>
          <w:rFonts w:hint="default" w:ascii="仿宋_GB2312" w:hAnsi="仿宋_GB2312" w:cs="仿宋_GB2312"/>
          <w:kern w:val="2"/>
          <w:sz w:val="32"/>
          <w:szCs w:val="32"/>
          <w:lang w:val="en-US" w:eastAsia="zh-CN" w:bidi="ar-SA"/>
        </w:rPr>
      </w:pPr>
    </w:p>
    <w:p w14:paraId="0D7DD9DD">
      <w:pPr>
        <w:pStyle w:val="3"/>
        <w:rPr>
          <w:rFonts w:hint="default" w:ascii="仿宋_GB2312" w:hAnsi="仿宋_GB2312" w:cs="仿宋_GB2312"/>
          <w:kern w:val="2"/>
          <w:sz w:val="32"/>
          <w:szCs w:val="32"/>
          <w:lang w:val="en-US" w:eastAsia="zh-CN" w:bidi="ar-SA"/>
        </w:rPr>
      </w:pPr>
    </w:p>
    <w:p w14:paraId="5A274542">
      <w:pPr>
        <w:pStyle w:val="3"/>
        <w:rPr>
          <w:rFonts w:hint="default" w:ascii="仿宋_GB2312" w:hAnsi="仿宋_GB2312" w:cs="仿宋_GB2312"/>
          <w:kern w:val="2"/>
          <w:sz w:val="32"/>
          <w:szCs w:val="32"/>
          <w:lang w:val="en-US" w:eastAsia="zh-CN" w:bidi="ar-SA"/>
        </w:rPr>
      </w:pPr>
    </w:p>
    <w:p w14:paraId="6AA00A98">
      <w:pPr>
        <w:pStyle w:val="3"/>
        <w:rPr>
          <w:rFonts w:hint="default" w:ascii="仿宋_GB2312" w:hAnsi="仿宋_GB2312" w:cs="仿宋_GB2312"/>
          <w:kern w:val="2"/>
          <w:sz w:val="32"/>
          <w:szCs w:val="32"/>
          <w:lang w:val="en-US" w:eastAsia="zh-CN" w:bidi="ar-SA"/>
        </w:rPr>
      </w:pPr>
    </w:p>
    <w:p w14:paraId="21393A19">
      <w:pPr>
        <w:pStyle w:val="3"/>
        <w:rPr>
          <w:rFonts w:hint="default" w:ascii="仿宋_GB2312" w:hAnsi="仿宋_GB2312" w:cs="仿宋_GB2312"/>
          <w:kern w:val="2"/>
          <w:sz w:val="32"/>
          <w:szCs w:val="32"/>
          <w:lang w:val="en-US" w:eastAsia="zh-CN" w:bidi="ar-SA"/>
        </w:rPr>
      </w:pPr>
    </w:p>
    <w:p w14:paraId="1294640D">
      <w:pPr>
        <w:pStyle w:val="3"/>
        <w:rPr>
          <w:rFonts w:hint="default" w:ascii="仿宋_GB2312" w:hAnsi="仿宋_GB2312" w:cs="仿宋_GB2312"/>
          <w:kern w:val="2"/>
          <w:sz w:val="32"/>
          <w:szCs w:val="32"/>
          <w:lang w:val="en-US" w:eastAsia="zh-CN" w:bidi="ar-SA"/>
        </w:rPr>
      </w:pPr>
    </w:p>
    <w:p w14:paraId="62131D89">
      <w:pPr>
        <w:pStyle w:val="3"/>
        <w:rPr>
          <w:rFonts w:hint="default" w:ascii="仿宋_GB2312" w:hAnsi="仿宋_GB2312" w:cs="仿宋_GB2312"/>
          <w:kern w:val="2"/>
          <w:sz w:val="32"/>
          <w:szCs w:val="32"/>
          <w:lang w:val="en-US" w:eastAsia="zh-CN" w:bidi="ar-SA"/>
        </w:rPr>
      </w:pPr>
    </w:p>
    <w:p w14:paraId="6EECA3CA">
      <w:pPr>
        <w:pStyle w:val="3"/>
        <w:rPr>
          <w:rFonts w:hint="default" w:ascii="仿宋_GB2312" w:hAnsi="仿宋_GB2312" w:cs="仿宋_GB2312"/>
          <w:kern w:val="2"/>
          <w:sz w:val="32"/>
          <w:szCs w:val="32"/>
          <w:lang w:val="en-US" w:eastAsia="zh-CN" w:bidi="ar-SA"/>
        </w:rPr>
      </w:pPr>
    </w:p>
    <w:p w14:paraId="4625CF4D">
      <w:pPr>
        <w:pStyle w:val="3"/>
        <w:rPr>
          <w:rFonts w:hint="default" w:ascii="仿宋_GB2312" w:hAnsi="仿宋_GB2312" w:cs="仿宋_GB2312"/>
          <w:kern w:val="2"/>
          <w:sz w:val="32"/>
          <w:szCs w:val="32"/>
          <w:lang w:val="en-US" w:eastAsia="zh-CN" w:bidi="ar-SA"/>
        </w:rPr>
      </w:pPr>
    </w:p>
    <w:p w14:paraId="1E18DEDF">
      <w:pPr>
        <w:pStyle w:val="3"/>
        <w:rPr>
          <w:rFonts w:hint="default" w:ascii="仿宋_GB2312" w:hAnsi="仿宋_GB2312" w:cs="仿宋_GB2312"/>
          <w:kern w:val="2"/>
          <w:sz w:val="32"/>
          <w:szCs w:val="32"/>
          <w:lang w:val="en-US" w:eastAsia="zh-CN" w:bidi="ar-SA"/>
        </w:rPr>
      </w:pPr>
    </w:p>
    <w:p w14:paraId="718025EE">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14:paraId="673BA34A">
      <w:pPr>
        <w:pStyle w:val="3"/>
        <w:rPr>
          <w:rFonts w:hint="eastAsia" w:ascii="黑体" w:hAnsi="黑体" w:eastAsia="黑体" w:cs="黑体"/>
          <w:kern w:val="2"/>
          <w:sz w:val="32"/>
          <w:szCs w:val="32"/>
          <w:lang w:val="en-US" w:eastAsia="zh-CN" w:bidi="ar-SA"/>
        </w:rPr>
      </w:pPr>
    </w:p>
    <w:p w14:paraId="1C6FEF26">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1580" w:firstLineChars="5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sz w:val="32"/>
          <w:lang w:eastAsia="zh-CN"/>
        </w:rPr>
        <w:t>滨海新区检查</w:t>
      </w:r>
      <w:r>
        <w:rPr>
          <w:rFonts w:hint="eastAsia" w:ascii="黑体" w:hAnsi="黑体" w:eastAsia="黑体" w:cs="黑体"/>
          <w:sz w:val="32"/>
        </w:rPr>
        <w:t>一级以下民营医疗机构列表</w:t>
      </w:r>
    </w:p>
    <w:p w14:paraId="608D447E">
      <w:pPr>
        <w:pStyle w:val="3"/>
        <w:rPr>
          <w:rFonts w:hint="eastAsia" w:ascii="仿宋_GB2312" w:hAnsi="仿宋_GB2312" w:cs="仿宋_GB2312"/>
          <w:kern w:val="2"/>
          <w:sz w:val="32"/>
          <w:szCs w:val="32"/>
          <w:lang w:val="en-US" w:eastAsia="zh-CN" w:bidi="ar-SA"/>
        </w:rPr>
      </w:pPr>
    </w:p>
    <w:tbl>
      <w:tblPr>
        <w:tblStyle w:val="7"/>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700"/>
      </w:tblGrid>
      <w:tr w14:paraId="626C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9F6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280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被检查机构</w:t>
            </w:r>
          </w:p>
        </w:tc>
      </w:tr>
      <w:tr w14:paraId="5E45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DB8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320563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森德口腔门诊（天津市滨海新区）有限公司第一口腔诊所</w:t>
            </w:r>
          </w:p>
        </w:tc>
      </w:tr>
      <w:tr w14:paraId="4B17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255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53A8CF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天津滨海军浩中医诊所</w:t>
            </w:r>
          </w:p>
        </w:tc>
      </w:tr>
      <w:tr w14:paraId="517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3B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8D4E7D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天津滨海新区天行健中医门诊部</w:t>
            </w:r>
          </w:p>
        </w:tc>
      </w:tr>
      <w:tr w14:paraId="27EE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07A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B5B70C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天津滨海方元门诊部</w:t>
            </w:r>
          </w:p>
        </w:tc>
      </w:tr>
      <w:tr w14:paraId="48C3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FAC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964F4F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天津和睦口腔门诊部</w:t>
            </w:r>
          </w:p>
        </w:tc>
      </w:tr>
      <w:tr w14:paraId="04E0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C34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D21704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天津滨海长护欣康护理站</w:t>
            </w:r>
          </w:p>
        </w:tc>
      </w:tr>
      <w:tr w14:paraId="5D2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4A8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D0431D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天津滨海新区佑易诚门诊部</w:t>
            </w:r>
          </w:p>
        </w:tc>
      </w:tr>
      <w:tr w14:paraId="02D3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60C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70F2A2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天津滨海新区麦迪格诊所有限公司中医诊所</w:t>
            </w:r>
          </w:p>
        </w:tc>
      </w:tr>
      <w:tr w14:paraId="4FC3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A2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78FFC7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天津滨海新区阳光树口腔门诊部</w:t>
            </w:r>
          </w:p>
        </w:tc>
      </w:tr>
      <w:tr w14:paraId="50EB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089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73DE85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天津滨海新区齐康新欣门诊部</w:t>
            </w:r>
          </w:p>
        </w:tc>
      </w:tr>
      <w:tr w14:paraId="14CF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380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41F92C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天津滨海滨诚普济堂诊所</w:t>
            </w:r>
          </w:p>
        </w:tc>
      </w:tr>
      <w:tr w14:paraId="0C5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ACD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73DAFE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天津滨海新区若水门诊部</w:t>
            </w:r>
          </w:p>
        </w:tc>
      </w:tr>
      <w:tr w14:paraId="090D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F4E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89DD14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天津滨港瑞安综合门诊部</w:t>
            </w:r>
          </w:p>
        </w:tc>
      </w:tr>
      <w:tr w14:paraId="12B3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090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378006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天津滨海茗草堂中医门诊部</w:t>
            </w:r>
          </w:p>
        </w:tc>
      </w:tr>
      <w:tr w14:paraId="6D87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989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E7DA22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天津滨海南益诊所</w:t>
            </w:r>
          </w:p>
        </w:tc>
      </w:tr>
      <w:tr w14:paraId="3C22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E0C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295120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中慈漾格（天津）医疗美容诊所</w:t>
            </w:r>
          </w:p>
        </w:tc>
      </w:tr>
      <w:tr w14:paraId="24EB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A6E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FE7872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天津博凡口腔门诊有限公司第一口腔诊所</w:t>
            </w:r>
          </w:p>
        </w:tc>
      </w:tr>
      <w:tr w14:paraId="3763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4D3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4D7B1E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天津滨海圣安德综合门诊部</w:t>
            </w:r>
          </w:p>
        </w:tc>
      </w:tr>
      <w:tr w14:paraId="5E59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FA8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0CC92A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津药达仁堂集团股份有限公司滨海新区中医门诊部</w:t>
            </w:r>
          </w:p>
        </w:tc>
      </w:tr>
      <w:tr w14:paraId="7E3C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EAD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0BF797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天津科纳集医疗美容诊所</w:t>
            </w:r>
          </w:p>
        </w:tc>
      </w:tr>
      <w:tr w14:paraId="3058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8D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8302D4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天津滨海长滨诊所</w:t>
            </w:r>
          </w:p>
        </w:tc>
      </w:tr>
      <w:tr w14:paraId="6915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C9C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9EA85F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天津自贸试验区浩沺中医门诊部</w:t>
            </w:r>
          </w:p>
        </w:tc>
      </w:tr>
      <w:tr w14:paraId="426F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F78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37B4DA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天津自贸试验区福寿康海护理站</w:t>
            </w:r>
          </w:p>
        </w:tc>
      </w:tr>
      <w:tr w14:paraId="3D9A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CB0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4A99AD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天津美晨口腔门诊部</w:t>
            </w:r>
          </w:p>
        </w:tc>
      </w:tr>
      <w:tr w14:paraId="37DB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296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BF62B3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天津滨海塘沽新村街明珠花园社区卫生服务站</w:t>
            </w:r>
          </w:p>
        </w:tc>
      </w:tr>
      <w:tr w14:paraId="72AB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C98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0BCEC3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天津滨海爱尚口腔诊所</w:t>
            </w:r>
          </w:p>
        </w:tc>
      </w:tr>
      <w:tr w14:paraId="64DA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31C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8D3529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天津滨海新区塘沽鸿庭中医门诊部</w:t>
            </w:r>
          </w:p>
        </w:tc>
      </w:tr>
      <w:tr w14:paraId="2577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B29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D43642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天津滨海新区卫群门诊部</w:t>
            </w:r>
          </w:p>
        </w:tc>
      </w:tr>
      <w:tr w14:paraId="396F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B6B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D68A6B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天津滨海甄丽晔口腔诊所 </w:t>
            </w:r>
          </w:p>
        </w:tc>
      </w:tr>
      <w:tr w14:paraId="60AF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09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171F91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天津滨海塘沽新港街华云园社区卫生服务站</w:t>
            </w:r>
          </w:p>
        </w:tc>
      </w:tr>
      <w:tr w14:paraId="33BA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91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08C4A4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天津益康堂中医门诊部</w:t>
            </w:r>
          </w:p>
        </w:tc>
      </w:tr>
      <w:tr w14:paraId="5974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066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6D9EEE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天津滨海朝阳综合门诊部</w:t>
            </w:r>
          </w:p>
        </w:tc>
      </w:tr>
      <w:tr w14:paraId="516B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32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C28546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天津滨海中民康护护理站</w:t>
            </w:r>
          </w:p>
        </w:tc>
      </w:tr>
      <w:tr w14:paraId="2CE8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3C2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6136C0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天津滨海三号路港航门诊部</w:t>
            </w:r>
          </w:p>
        </w:tc>
      </w:tr>
      <w:tr w14:paraId="3F56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4F1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949533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天津滨海新区塘沽于发明口腔诊所</w:t>
            </w:r>
          </w:p>
        </w:tc>
      </w:tr>
      <w:tr w14:paraId="3931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2EB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583239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天津滨海新区刘文娟中医诊所</w:t>
            </w:r>
          </w:p>
        </w:tc>
      </w:tr>
      <w:tr w14:paraId="4FDE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C05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A2FBD7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天津滨海康建内科诊所</w:t>
            </w:r>
          </w:p>
        </w:tc>
      </w:tr>
      <w:tr w14:paraId="0B8A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CB4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13121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天津滨海李文孝诊所</w:t>
            </w:r>
          </w:p>
        </w:tc>
      </w:tr>
      <w:tr w14:paraId="22FD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03F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2F9F27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天津永泽欣诊所</w:t>
            </w:r>
          </w:p>
        </w:tc>
      </w:tr>
      <w:tr w14:paraId="6036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20F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C5085B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天津滨海橙诺口腔诊所有限公司</w:t>
            </w:r>
          </w:p>
        </w:tc>
      </w:tr>
      <w:tr w14:paraId="0588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3D7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FB77A3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天津万宁中医门诊部</w:t>
            </w:r>
          </w:p>
        </w:tc>
      </w:tr>
      <w:tr w14:paraId="7EBB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C2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63003E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天津滨海旭康中医门诊部</w:t>
            </w:r>
          </w:p>
        </w:tc>
      </w:tr>
      <w:tr w14:paraId="57AA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A8B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DAEBB6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天津滨海新区邸梅中医诊所</w:t>
            </w:r>
          </w:p>
        </w:tc>
      </w:tr>
      <w:tr w14:paraId="47FB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E8BB">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D9F7B4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天津自贸试验区晨曦诊所</w:t>
            </w:r>
          </w:p>
        </w:tc>
      </w:tr>
      <w:tr w14:paraId="2E8C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363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A644C1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天津滨海芙瑞新口腔门诊部</w:t>
            </w:r>
          </w:p>
        </w:tc>
      </w:tr>
      <w:tr w14:paraId="1B79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63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DA80E7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天津滨海新区德康沅门诊部</w:t>
            </w:r>
          </w:p>
        </w:tc>
      </w:tr>
      <w:tr w14:paraId="15D6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BB4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C7BBCE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天津滨海华仁口腔诊所</w:t>
            </w:r>
          </w:p>
        </w:tc>
      </w:tr>
      <w:tr w14:paraId="34FA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0F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21FD5E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天津滨海恒升医药有限公司诊所</w:t>
            </w:r>
          </w:p>
        </w:tc>
      </w:tr>
      <w:tr w14:paraId="35E5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539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0E7ECD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天津滨海明康诊所</w:t>
            </w:r>
          </w:p>
        </w:tc>
      </w:tr>
      <w:tr w14:paraId="2AA1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7A5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C06AFB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天津惠康源诊所</w:t>
            </w:r>
          </w:p>
        </w:tc>
      </w:tr>
      <w:tr w14:paraId="04EC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22A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C5A253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天津滨海康益缘诊所</w:t>
            </w:r>
          </w:p>
        </w:tc>
      </w:tr>
      <w:tr w14:paraId="71C1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189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76141C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天津滨海玉俊内科诊所</w:t>
            </w:r>
          </w:p>
        </w:tc>
      </w:tr>
      <w:tr w14:paraId="54A3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40A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F88063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天津市滨海新区塘沽中心庄卫生院</w:t>
            </w:r>
          </w:p>
        </w:tc>
      </w:tr>
      <w:tr w14:paraId="509D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2D1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54</w:t>
            </w:r>
          </w:p>
        </w:tc>
        <w:tc>
          <w:tcPr>
            <w:tcW w:w="7700" w:type="dxa"/>
            <w:tcBorders>
              <w:top w:val="nil"/>
              <w:left w:val="nil"/>
              <w:bottom w:val="single" w:color="000000" w:sz="4" w:space="0"/>
              <w:right w:val="single" w:color="000000" w:sz="4" w:space="0"/>
            </w:tcBorders>
            <w:shd w:val="clear" w:color="auto" w:fill="auto"/>
            <w:vAlign w:val="center"/>
          </w:tcPr>
          <w:p w14:paraId="336C615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天津滨海新区还迁区综合门诊部</w:t>
            </w:r>
          </w:p>
        </w:tc>
      </w:tr>
      <w:tr w14:paraId="2E9B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AD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663F7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天津滨海滨诚德济堂诊所</w:t>
            </w:r>
          </w:p>
        </w:tc>
      </w:tr>
      <w:tr w14:paraId="041C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6B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10D8F0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天津仁安堂中医诊所</w:t>
            </w:r>
          </w:p>
        </w:tc>
      </w:tr>
      <w:tr w14:paraId="0A1D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4AB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F2057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天津滨海韩兆显中医诊所</w:t>
            </w:r>
          </w:p>
        </w:tc>
      </w:tr>
      <w:tr w14:paraId="15DF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80E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E9F896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天津悦世康门诊部有限公司幸福城诊所</w:t>
            </w:r>
          </w:p>
        </w:tc>
      </w:tr>
      <w:tr w14:paraId="4241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15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139D20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天津滨海欣嘉园欣康专科门诊部</w:t>
            </w:r>
          </w:p>
        </w:tc>
      </w:tr>
      <w:tr w14:paraId="1F0B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754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97764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天津滨海新区德瑞诊所</w:t>
            </w:r>
          </w:p>
        </w:tc>
      </w:tr>
      <w:tr w14:paraId="0BBD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536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67F15D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天津欣嘉缘口腔诊所有限公司滨海第一口腔诊所</w:t>
            </w:r>
          </w:p>
        </w:tc>
      </w:tr>
      <w:tr w14:paraId="3E51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9F6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D18737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天津滨海海橙口腔诊所</w:t>
            </w:r>
          </w:p>
        </w:tc>
      </w:tr>
      <w:tr w14:paraId="0C2E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124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EE3427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天津滨海尚优口腔诊所</w:t>
            </w:r>
          </w:p>
        </w:tc>
      </w:tr>
      <w:tr w14:paraId="7713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D2A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D03982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天津滨海马光宝山门诊部</w:t>
            </w:r>
          </w:p>
        </w:tc>
      </w:tr>
      <w:tr w14:paraId="6174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B1F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BE954A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天津滨海新区鸿正康综合门诊部</w:t>
            </w:r>
          </w:p>
        </w:tc>
      </w:tr>
      <w:tr w14:paraId="2012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172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43F4E2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天津滨海新区华仁中医门诊部</w:t>
            </w:r>
          </w:p>
        </w:tc>
      </w:tr>
      <w:tr w14:paraId="60BA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790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9DCFFD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天津滨海福安康河北西路中医门诊部</w:t>
            </w:r>
          </w:p>
        </w:tc>
      </w:tr>
      <w:tr w14:paraId="72C9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454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0FF2AC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天津滨海惠民中医门诊部</w:t>
            </w:r>
          </w:p>
        </w:tc>
      </w:tr>
      <w:tr w14:paraId="78EB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76C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DEF893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天津滨海新区盛世嘉合中医诊所</w:t>
            </w:r>
          </w:p>
        </w:tc>
      </w:tr>
      <w:tr w14:paraId="3049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D6A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292C5C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天津滨海新区汉沽明德综合门诊部</w:t>
            </w:r>
          </w:p>
        </w:tc>
      </w:tr>
      <w:tr w14:paraId="654B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2E6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CE5A91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天津滨海郭晋汾内科诊所有限公司</w:t>
            </w:r>
          </w:p>
        </w:tc>
      </w:tr>
      <w:tr w14:paraId="78DE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91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857815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诺雅（天津）口腔门诊有限责任公司汉沽口腔门诊部</w:t>
            </w:r>
          </w:p>
        </w:tc>
      </w:tr>
      <w:tr w14:paraId="04C0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C57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167E4E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天津市滨海新区荣华富口腔门诊部</w:t>
            </w:r>
          </w:p>
        </w:tc>
      </w:tr>
      <w:tr w14:paraId="25B9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77A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57684E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天津市爱童口腔门诊有限公司滨海新区第一口腔诊所</w:t>
            </w:r>
          </w:p>
        </w:tc>
      </w:tr>
      <w:tr w14:paraId="06B9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C98B">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4590F1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天津滨海新区瑞君堂中医门诊有限公司一商中医门诊部</w:t>
            </w:r>
          </w:p>
        </w:tc>
      </w:tr>
      <w:tr w14:paraId="10AD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F8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521F04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天津滨海邹宗芬中医诊所</w:t>
            </w:r>
          </w:p>
        </w:tc>
      </w:tr>
      <w:tr w14:paraId="00B1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DD4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31193A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天津滨海王钰崑中医诊所   </w:t>
            </w:r>
          </w:p>
        </w:tc>
      </w:tr>
      <w:tr w14:paraId="77BA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D5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6574CD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天津市滨海新区尔至口腔门诊部</w:t>
            </w:r>
          </w:p>
        </w:tc>
      </w:tr>
      <w:tr w14:paraId="5E13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751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8924ED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天津滨海欣瑶口腔诊所有限公司第一口腔诊所</w:t>
            </w:r>
          </w:p>
        </w:tc>
      </w:tr>
      <w:tr w14:paraId="03E6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9AF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E8F1A1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天津滨海康美中医门诊有限公司</w:t>
            </w:r>
          </w:p>
        </w:tc>
      </w:tr>
      <w:tr w14:paraId="3D20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97B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630195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天津滨海新区南福顺中医门诊有限公司</w:t>
            </w:r>
          </w:p>
        </w:tc>
      </w:tr>
      <w:tr w14:paraId="629C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2A6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8BC2C5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天津滨海新区东福顺中医门诊有限公司汉沽东福顺中医门诊部</w:t>
            </w:r>
          </w:p>
        </w:tc>
      </w:tr>
      <w:tr w14:paraId="78E8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83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93393E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天津杏云堂综合门诊部</w:t>
            </w:r>
          </w:p>
        </w:tc>
      </w:tr>
      <w:tr w14:paraId="34AB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1B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0DF038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天违滨海万顺康中医门诊部</w:t>
            </w:r>
          </w:p>
        </w:tc>
      </w:tr>
      <w:tr w14:paraId="50A8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80F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82877E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天津滨海新区嘉合中医门诊部                   </w:t>
            </w:r>
          </w:p>
        </w:tc>
      </w:tr>
      <w:tr w14:paraId="1440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021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401C8F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臻美爱牙仕（天津）口腔门诊有限公司滨海新区第一口腔门诊部</w:t>
            </w:r>
          </w:p>
        </w:tc>
      </w:tr>
      <w:tr w14:paraId="264F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11A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A59618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天津市滨海新区民安诊所有限公司第一诊所</w:t>
            </w:r>
          </w:p>
        </w:tc>
      </w:tr>
      <w:tr w14:paraId="0A46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F0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65D76E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天津滨海瑞元堂中医诊所</w:t>
            </w:r>
          </w:p>
        </w:tc>
      </w:tr>
      <w:tr w14:paraId="6E58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255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63E317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天津滨海新区福兴堂中医门诊部</w:t>
            </w:r>
          </w:p>
        </w:tc>
      </w:tr>
      <w:tr w14:paraId="7AFC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12F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24F40E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天津北港门诊部</w:t>
            </w:r>
          </w:p>
        </w:tc>
      </w:tr>
      <w:tr w14:paraId="6C3C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D1D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83A5D5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天津滨海新区崇一中医诊所</w:t>
            </w:r>
          </w:p>
        </w:tc>
      </w:tr>
      <w:tr w14:paraId="49A6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19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2B6B65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天津滨海康胜中医门诊部</w:t>
            </w:r>
          </w:p>
        </w:tc>
      </w:tr>
      <w:tr w14:paraId="7798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E55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363204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天津滨海新区康泰中医门诊部</w:t>
            </w:r>
          </w:p>
        </w:tc>
      </w:tr>
      <w:tr w14:paraId="4A61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E3C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F4FC1C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天津滨海德鑫综合门诊部</w:t>
            </w:r>
          </w:p>
        </w:tc>
      </w:tr>
      <w:tr w14:paraId="0C37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F03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46C9A1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天津滨海新区普仁堂综合门诊部</w:t>
            </w:r>
          </w:p>
        </w:tc>
      </w:tr>
      <w:tr w14:paraId="0B9A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427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179189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天津大港港滨综合门诊部</w:t>
            </w:r>
          </w:p>
        </w:tc>
      </w:tr>
      <w:tr w14:paraId="39B2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4D2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2275E8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天津滨海新区德隆源综合门诊部</w:t>
            </w:r>
          </w:p>
        </w:tc>
      </w:tr>
      <w:tr w14:paraId="5E15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3B9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F8407F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天津市滨海新区聚源堂诊所</w:t>
            </w:r>
          </w:p>
        </w:tc>
      </w:tr>
      <w:tr w14:paraId="0EE7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C68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99</w:t>
            </w:r>
          </w:p>
        </w:tc>
        <w:tc>
          <w:tcPr>
            <w:tcW w:w="7700" w:type="dxa"/>
            <w:tcBorders>
              <w:top w:val="single" w:color="000000" w:sz="4" w:space="0"/>
              <w:left w:val="nil"/>
              <w:bottom w:val="single" w:color="000000" w:sz="4" w:space="0"/>
              <w:right w:val="single" w:color="000000" w:sz="4" w:space="0"/>
            </w:tcBorders>
            <w:shd w:val="clear" w:color="auto" w:fill="FFFFFF"/>
            <w:vAlign w:val="center"/>
          </w:tcPr>
          <w:p w14:paraId="761181C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天津滨海新区圣丹堂中医门诊部</w:t>
            </w:r>
          </w:p>
        </w:tc>
      </w:tr>
      <w:tr w14:paraId="3B22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BFA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EDD189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天津滨海新区济慈中医诊所</w:t>
            </w:r>
          </w:p>
        </w:tc>
      </w:tr>
      <w:tr w14:paraId="402B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B7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8F47D5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天津滨海新区鑫圣杰口腔门诊部</w:t>
            </w:r>
          </w:p>
        </w:tc>
      </w:tr>
      <w:tr w14:paraId="6CD5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570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F37A83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天津滨海天龙华康诊所</w:t>
            </w:r>
          </w:p>
        </w:tc>
      </w:tr>
      <w:tr w14:paraId="4E44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0B6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EFE09F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天津滨海仁济诊所</w:t>
            </w:r>
          </w:p>
        </w:tc>
      </w:tr>
      <w:tr w14:paraId="5FE2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FCD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DD159C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天津滨海杨寿波中医诊所</w:t>
            </w:r>
          </w:p>
        </w:tc>
      </w:tr>
      <w:tr w14:paraId="09A1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AB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105</w:t>
            </w:r>
          </w:p>
        </w:tc>
        <w:tc>
          <w:tcPr>
            <w:tcW w:w="7700" w:type="dxa"/>
            <w:tcBorders>
              <w:top w:val="single" w:color="000000" w:sz="4" w:space="0"/>
              <w:left w:val="nil"/>
              <w:bottom w:val="single" w:color="000000" w:sz="4" w:space="0"/>
              <w:right w:val="single" w:color="000000" w:sz="4" w:space="0"/>
            </w:tcBorders>
            <w:shd w:val="clear" w:color="auto" w:fill="FFFFFF"/>
            <w:vAlign w:val="center"/>
          </w:tcPr>
          <w:p w14:paraId="632D4C6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天津滨海新区精美口腔诊所 </w:t>
            </w:r>
          </w:p>
        </w:tc>
      </w:tr>
      <w:tr w14:paraId="3FCA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887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E6BD91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天津滨海贾彦梅中医诊所</w:t>
            </w:r>
          </w:p>
        </w:tc>
      </w:tr>
      <w:tr w14:paraId="7EA9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602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15D4EC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天津众益诊所有限公司</w:t>
            </w:r>
          </w:p>
        </w:tc>
      </w:tr>
      <w:tr w14:paraId="16A9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2DEA">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A1635C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天津滨海新区海福堂诊所</w:t>
            </w:r>
          </w:p>
        </w:tc>
      </w:tr>
      <w:tr w14:paraId="6553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CEA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075A32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天津慕名口腔诊所</w:t>
            </w:r>
          </w:p>
        </w:tc>
      </w:tr>
      <w:tr w14:paraId="3BC1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FFB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110</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19CBFF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天津滨海新区圣德康口腔门诊部</w:t>
            </w:r>
          </w:p>
        </w:tc>
      </w:tr>
      <w:tr w14:paraId="3F12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D569">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111</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BACCCB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天津大港油田希发口腔门诊有限责任公司诊所</w:t>
            </w:r>
          </w:p>
        </w:tc>
      </w:tr>
      <w:tr w14:paraId="24F9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FA9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112</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5D0DCB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天津友诚诊所</w:t>
            </w:r>
          </w:p>
        </w:tc>
      </w:tr>
      <w:tr w14:paraId="37C0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136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113</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BC8E25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天津大港怀仁综合门诊部</w:t>
            </w:r>
          </w:p>
        </w:tc>
      </w:tr>
      <w:tr w14:paraId="6C77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042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BDB9EA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天津大港凯旋平川口腔门诊部</w:t>
            </w:r>
          </w:p>
        </w:tc>
      </w:tr>
      <w:tr w14:paraId="1A0F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592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3B4CCF9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天津爱森诊所有限公司第一中医诊所</w:t>
            </w:r>
          </w:p>
        </w:tc>
      </w:tr>
      <w:tr w14:paraId="398B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0BA0">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A13C4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天津市鑫德康口腔门诊部有限公司滨海新区第一门诊部</w:t>
            </w:r>
          </w:p>
        </w:tc>
      </w:tr>
      <w:tr w14:paraId="7AE6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439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736B504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天津滨海贝诺口腔门诊部</w:t>
            </w:r>
          </w:p>
        </w:tc>
      </w:tr>
      <w:tr w14:paraId="5EAF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EFB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118</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497FB3E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天津滨海汇康诊所</w:t>
            </w:r>
          </w:p>
        </w:tc>
      </w:tr>
      <w:tr w14:paraId="465B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2C9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119</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2E49726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天津滨海新区福康广振诊所</w:t>
            </w:r>
          </w:p>
        </w:tc>
      </w:tr>
      <w:tr w14:paraId="03EB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32B2">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120</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0F15A25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天津滨海新区红如诊所</w:t>
            </w:r>
          </w:p>
        </w:tc>
      </w:tr>
      <w:tr w14:paraId="3C4F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4DD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121</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57ACE5E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天津立美口腔诊所</w:t>
            </w:r>
          </w:p>
        </w:tc>
      </w:tr>
      <w:tr w14:paraId="5FB0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9CA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122</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68CE4A6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天津滨海新区太平毓</w:t>
            </w:r>
            <w:r>
              <w:rPr>
                <w:rFonts w:hint="eastAsia" w:ascii="仿宋_GB2312" w:hAnsi="仿宋_GB2312" w:cs="仿宋_GB2312"/>
                <w:kern w:val="2"/>
                <w:sz w:val="32"/>
                <w:szCs w:val="32"/>
                <w:lang w:val="en-US" w:eastAsia="zh-CN" w:bidi="ar-SA"/>
              </w:rPr>
              <w:t>德</w:t>
            </w:r>
            <w:bookmarkStart w:id="2" w:name="_GoBack"/>
            <w:bookmarkEnd w:id="2"/>
            <w:r>
              <w:rPr>
                <w:rFonts w:hint="eastAsia" w:ascii="仿宋_GB2312" w:hAnsi="仿宋_GB2312" w:eastAsia="仿宋_GB2312" w:cs="仿宋_GB2312"/>
                <w:kern w:val="2"/>
                <w:sz w:val="32"/>
                <w:szCs w:val="32"/>
                <w:lang w:val="en-US" w:eastAsia="zh-CN" w:bidi="ar-SA"/>
              </w:rPr>
              <w:t>口腔诊所</w:t>
            </w:r>
          </w:p>
        </w:tc>
      </w:tr>
      <w:tr w14:paraId="0480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A2C3">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123</w:t>
            </w:r>
          </w:p>
        </w:tc>
        <w:tc>
          <w:tcPr>
            <w:tcW w:w="7700" w:type="dxa"/>
            <w:tcBorders>
              <w:top w:val="single" w:color="000000" w:sz="4" w:space="0"/>
              <w:left w:val="nil"/>
              <w:bottom w:val="single" w:color="000000" w:sz="4" w:space="0"/>
              <w:right w:val="single" w:color="000000" w:sz="4" w:space="0"/>
            </w:tcBorders>
            <w:shd w:val="clear" w:color="auto" w:fill="auto"/>
            <w:noWrap/>
            <w:vAlign w:val="center"/>
          </w:tcPr>
          <w:p w14:paraId="6BEA8B4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天津滨海新区昕瑞诊所</w:t>
            </w:r>
          </w:p>
        </w:tc>
      </w:tr>
      <w:tr w14:paraId="730C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A60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124</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2CEE097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天津滨海新区慈慧堂中医门诊部</w:t>
            </w:r>
          </w:p>
        </w:tc>
      </w:tr>
      <w:tr w14:paraId="1EE0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032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125</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19426F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天津滨海新区汇民诊所</w:t>
            </w:r>
          </w:p>
        </w:tc>
      </w:tr>
      <w:tr w14:paraId="0C4D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9B7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126</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6EE7FE7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天津滨海新区敬然堂中医诊所</w:t>
            </w:r>
          </w:p>
        </w:tc>
      </w:tr>
      <w:tr w14:paraId="1DC4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61F4">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127</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09DFFA3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天津滨海新区利明堂中医诊所</w:t>
            </w:r>
          </w:p>
        </w:tc>
      </w:tr>
      <w:tr w14:paraId="209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539E">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128</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578B8C9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天津滨海新区蔺济民内科诊所</w:t>
            </w:r>
          </w:p>
        </w:tc>
      </w:tr>
      <w:tr w14:paraId="3403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BEC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129</w:t>
            </w:r>
          </w:p>
        </w:tc>
        <w:tc>
          <w:tcPr>
            <w:tcW w:w="7700" w:type="dxa"/>
            <w:tcBorders>
              <w:top w:val="single" w:color="000000" w:sz="4" w:space="0"/>
              <w:left w:val="nil"/>
              <w:bottom w:val="single" w:color="000000" w:sz="4" w:space="0"/>
              <w:right w:val="single" w:color="000000" w:sz="4" w:space="0"/>
            </w:tcBorders>
            <w:shd w:val="clear" w:color="auto" w:fill="auto"/>
            <w:vAlign w:val="center"/>
          </w:tcPr>
          <w:p w14:paraId="163FD82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天津滨海李钢诊所</w:t>
            </w:r>
          </w:p>
        </w:tc>
      </w:tr>
    </w:tbl>
    <w:p w14:paraId="7D14A45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6E2C4431">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14:paraId="231E5444">
      <w:pPr>
        <w:pStyle w:val="3"/>
        <w:rPr>
          <w:rFonts w:hint="eastAsia" w:ascii="黑体" w:hAnsi="黑体" w:eastAsia="黑体" w:cs="黑体"/>
          <w:kern w:val="2"/>
          <w:sz w:val="32"/>
          <w:szCs w:val="32"/>
          <w:lang w:val="en-US" w:eastAsia="zh-CN" w:bidi="ar-SA"/>
        </w:rPr>
      </w:pPr>
    </w:p>
    <w:p w14:paraId="020FDEDF">
      <w:pPr>
        <w:pStyle w:val="3"/>
        <w:keepNext w:val="0"/>
        <w:keepLines w:val="0"/>
        <w:pageBreakBefore w:val="0"/>
        <w:widowControl w:val="0"/>
        <w:kinsoku/>
        <w:wordWrap/>
        <w:overflowPunct/>
        <w:topLinePunct w:val="0"/>
        <w:autoSpaceDE/>
        <w:autoSpaceDN/>
        <w:bidi w:val="0"/>
        <w:adjustRightInd/>
        <w:snapToGrid w:val="0"/>
        <w:spacing w:line="578" w:lineRule="exact"/>
        <w:ind w:firstLine="316" w:firstLineChars="100"/>
        <w:jc w:val="both"/>
        <w:textAlignment w:val="auto"/>
        <w:rPr>
          <w:rFonts w:hint="eastAsia" w:ascii="黑体" w:hAnsi="黑体" w:eastAsia="黑体" w:cs="黑体"/>
          <w:sz w:val="32"/>
        </w:rPr>
      </w:pPr>
      <w:r>
        <w:rPr>
          <w:rFonts w:hint="eastAsia" w:ascii="黑体" w:hAnsi="黑体" w:eastAsia="黑体" w:cs="黑体"/>
          <w:kern w:val="2"/>
          <w:sz w:val="32"/>
          <w:szCs w:val="32"/>
          <w:lang w:val="en-US" w:eastAsia="zh-CN" w:bidi="ar-SA"/>
        </w:rPr>
        <w:t>2022</w:t>
      </w:r>
      <w:r>
        <w:rPr>
          <w:rFonts w:hint="eastAsia" w:ascii="黑体" w:hAnsi="黑体" w:eastAsia="黑体" w:cs="黑体"/>
          <w:sz w:val="32"/>
        </w:rPr>
        <w:t>年民营医院专项巡查行动“回头看”及</w:t>
      </w:r>
      <w:r>
        <w:rPr>
          <w:rFonts w:hint="eastAsia" w:ascii="黑体" w:hAnsi="黑体" w:eastAsia="黑体" w:cs="黑体"/>
          <w:kern w:val="2"/>
          <w:sz w:val="32"/>
          <w:szCs w:val="32"/>
          <w:lang w:val="en-US" w:eastAsia="zh-CN" w:bidi="ar-SA"/>
        </w:rPr>
        <w:t>2024</w:t>
      </w:r>
      <w:r>
        <w:rPr>
          <w:rFonts w:hint="eastAsia" w:ascii="黑体" w:hAnsi="黑体" w:eastAsia="黑体" w:cs="黑体"/>
          <w:sz w:val="32"/>
        </w:rPr>
        <w:t>年</w:t>
      </w:r>
      <w:r>
        <w:rPr>
          <w:rFonts w:hint="eastAsia" w:ascii="黑体" w:hAnsi="黑体" w:eastAsia="黑体" w:cs="黑体"/>
          <w:kern w:val="2"/>
          <w:sz w:val="32"/>
          <w:szCs w:val="32"/>
          <w:lang w:val="en-US" w:eastAsia="zh-CN" w:bidi="ar-SA"/>
        </w:rPr>
        <w:t>1</w:t>
      </w:r>
      <w:r>
        <w:rPr>
          <w:rFonts w:hint="eastAsia" w:ascii="黑体" w:hAnsi="黑体" w:eastAsia="黑体" w:cs="黑体"/>
          <w:sz w:val="32"/>
        </w:rPr>
        <w:t>月</w:t>
      </w:r>
    </w:p>
    <w:p w14:paraId="7835A3A8">
      <w:pPr>
        <w:pStyle w:val="3"/>
        <w:keepNext w:val="0"/>
        <w:keepLines w:val="0"/>
        <w:pageBreakBefore w:val="0"/>
        <w:widowControl w:val="0"/>
        <w:kinsoku/>
        <w:wordWrap/>
        <w:overflowPunct/>
        <w:topLinePunct w:val="0"/>
        <w:autoSpaceDE/>
        <w:autoSpaceDN/>
        <w:bidi w:val="0"/>
        <w:adjustRightInd/>
        <w:snapToGrid w:val="0"/>
        <w:spacing w:line="578" w:lineRule="exact"/>
        <w:ind w:firstLine="1264" w:firstLineChars="400"/>
        <w:jc w:val="both"/>
        <w:textAlignment w:val="auto"/>
        <w:rPr>
          <w:rFonts w:hint="eastAsia" w:ascii="黑体" w:hAnsi="黑体" w:eastAsia="黑体" w:cs="黑体"/>
          <w:sz w:val="32"/>
        </w:rPr>
      </w:pPr>
      <w:r>
        <w:rPr>
          <w:rFonts w:hint="eastAsia" w:ascii="黑体" w:hAnsi="黑体" w:eastAsia="黑体" w:cs="黑体"/>
          <w:sz w:val="32"/>
        </w:rPr>
        <w:t>开展的天津市规范民营医院发展专项行动</w:t>
      </w:r>
    </w:p>
    <w:p w14:paraId="613C202D">
      <w:pPr>
        <w:pStyle w:val="3"/>
        <w:keepNext w:val="0"/>
        <w:keepLines w:val="0"/>
        <w:pageBreakBefore w:val="0"/>
        <w:widowControl w:val="0"/>
        <w:kinsoku/>
        <w:wordWrap/>
        <w:overflowPunct/>
        <w:topLinePunct w:val="0"/>
        <w:autoSpaceDE/>
        <w:autoSpaceDN/>
        <w:bidi w:val="0"/>
        <w:adjustRightInd/>
        <w:snapToGrid w:val="0"/>
        <w:spacing w:line="578" w:lineRule="exact"/>
        <w:ind w:firstLine="2528" w:firstLineChars="800"/>
        <w:jc w:val="both"/>
        <w:textAlignment w:val="auto"/>
        <w:rPr>
          <w:rFonts w:hint="eastAsia" w:ascii="黑体" w:hAnsi="黑体" w:eastAsia="黑体" w:cs="黑体"/>
          <w:sz w:val="32"/>
        </w:rPr>
      </w:pPr>
      <w:r>
        <w:rPr>
          <w:rFonts w:hint="eastAsia" w:ascii="黑体" w:hAnsi="黑体" w:eastAsia="黑体" w:cs="黑体"/>
          <w:sz w:val="32"/>
        </w:rPr>
        <w:t>中发现问题单位检查表</w:t>
      </w:r>
    </w:p>
    <w:tbl>
      <w:tblPr>
        <w:tblStyle w:val="7"/>
        <w:tblW w:w="87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714"/>
      </w:tblGrid>
      <w:tr w14:paraId="2840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3AA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7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7E0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医疗机构名称 </w:t>
            </w:r>
          </w:p>
        </w:tc>
      </w:tr>
      <w:tr w14:paraId="3536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C02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8E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天津和成医院</w:t>
            </w:r>
          </w:p>
        </w:tc>
      </w:tr>
      <w:tr w14:paraId="7BEC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AC26">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07A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天津阳光爱心医院</w:t>
            </w:r>
          </w:p>
        </w:tc>
      </w:tr>
      <w:tr w14:paraId="5437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234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5A4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天津滨海华耀医学检验实验室</w:t>
            </w:r>
          </w:p>
        </w:tc>
      </w:tr>
      <w:tr w14:paraId="5B1E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830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A03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天津北创民众医院</w:t>
            </w:r>
          </w:p>
        </w:tc>
      </w:tr>
      <w:tr w14:paraId="417A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084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D8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天津华泰医院</w:t>
            </w:r>
          </w:p>
        </w:tc>
      </w:tr>
      <w:tr w14:paraId="20A7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873F">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899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天津滨海新区佑易诚门诊部</w:t>
            </w:r>
          </w:p>
        </w:tc>
      </w:tr>
      <w:tr w14:paraId="4754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C1FC">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4ED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天津塘沽安邦口腔门诊部</w:t>
            </w:r>
          </w:p>
        </w:tc>
      </w:tr>
      <w:tr w14:paraId="3F77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FE7B">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01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天津滨海圣安德综合门诊部</w:t>
            </w:r>
          </w:p>
        </w:tc>
      </w:tr>
      <w:tr w14:paraId="15AD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8201">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C5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天津滨海津怡康诊所</w:t>
            </w:r>
          </w:p>
        </w:tc>
      </w:tr>
      <w:tr w14:paraId="4901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D4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3A7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天津共昌医院有限公司春风路口腔门诊部</w:t>
            </w:r>
          </w:p>
        </w:tc>
      </w:tr>
      <w:tr w14:paraId="4F54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BAD5">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3B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天津滨海航四口腔诊所</w:t>
            </w:r>
          </w:p>
        </w:tc>
      </w:tr>
      <w:tr w14:paraId="1B69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4277">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193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天津和睦御水口腔诊所有限公司</w:t>
            </w:r>
          </w:p>
        </w:tc>
      </w:tr>
      <w:tr w14:paraId="32C1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840D">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FC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天津滨海海橙口腔诊所</w:t>
            </w:r>
          </w:p>
        </w:tc>
      </w:tr>
      <w:tr w14:paraId="4839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8DE8">
            <w:pPr>
              <w:keepNext w:val="0"/>
              <w:keepLines w:val="0"/>
              <w:widowControl/>
              <w:suppressLineNumbers w:val="0"/>
              <w:jc w:val="center"/>
              <w:textAlignment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w:t>
            </w:r>
          </w:p>
        </w:tc>
        <w:tc>
          <w:tcPr>
            <w:tcW w:w="7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C9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天津新城医院</w:t>
            </w:r>
          </w:p>
        </w:tc>
      </w:tr>
    </w:tbl>
    <w:p w14:paraId="5D5BB08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6A4F6C9B">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附加5</w:t>
      </w:r>
    </w:p>
    <w:p w14:paraId="52B0C3B8">
      <w:pPr>
        <w:pStyle w:val="3"/>
        <w:rPr>
          <w:rFonts w:hint="eastAsia" w:ascii="黑体" w:hAnsi="黑体" w:eastAsia="黑体" w:cs="黑体"/>
          <w:kern w:val="2"/>
          <w:sz w:val="32"/>
          <w:szCs w:val="32"/>
          <w:lang w:val="en-US" w:eastAsia="zh-CN" w:bidi="ar-SA"/>
        </w:rPr>
      </w:pPr>
    </w:p>
    <w:p w14:paraId="143DC6D9">
      <w:pPr>
        <w:pStyle w:val="3"/>
        <w:keepNext w:val="0"/>
        <w:keepLines w:val="0"/>
        <w:pageBreakBefore w:val="0"/>
        <w:widowControl w:val="0"/>
        <w:kinsoku/>
        <w:wordWrap/>
        <w:overflowPunct/>
        <w:topLinePunct w:val="0"/>
        <w:autoSpaceDE/>
        <w:autoSpaceDN/>
        <w:bidi w:val="0"/>
        <w:adjustRightInd/>
        <w:snapToGrid w:val="0"/>
        <w:spacing w:line="578" w:lineRule="exact"/>
        <w:ind w:firstLine="1580" w:firstLineChars="500"/>
        <w:jc w:val="both"/>
        <w:textAlignment w:val="auto"/>
        <w:rPr>
          <w:rFonts w:hint="eastAsia" w:ascii="黑体" w:hAnsi="黑体" w:eastAsia="黑体" w:cs="黑体"/>
          <w:sz w:val="32"/>
        </w:rPr>
      </w:pPr>
      <w:r>
        <w:rPr>
          <w:rFonts w:hint="eastAsia" w:ascii="黑体" w:hAnsi="黑体" w:eastAsia="黑体" w:cs="黑体"/>
          <w:sz w:val="32"/>
        </w:rPr>
        <w:t>天津市民营医疗机构依法执业规范诊疗</w:t>
      </w:r>
    </w:p>
    <w:p w14:paraId="21992C4F">
      <w:pPr>
        <w:pStyle w:val="3"/>
        <w:keepNext w:val="0"/>
        <w:keepLines w:val="0"/>
        <w:pageBreakBefore w:val="0"/>
        <w:widowControl w:val="0"/>
        <w:kinsoku/>
        <w:wordWrap/>
        <w:overflowPunct/>
        <w:topLinePunct w:val="0"/>
        <w:autoSpaceDE/>
        <w:autoSpaceDN/>
        <w:bidi w:val="0"/>
        <w:adjustRightInd/>
        <w:snapToGrid w:val="0"/>
        <w:spacing w:line="578" w:lineRule="exact"/>
        <w:ind w:firstLine="3476" w:firstLineChars="1100"/>
        <w:jc w:val="both"/>
        <w:textAlignment w:val="auto"/>
        <w:rPr>
          <w:rFonts w:hint="eastAsia" w:ascii="黑体" w:hAnsi="黑体" w:eastAsia="黑体" w:cs="黑体"/>
          <w:sz w:val="32"/>
        </w:rPr>
      </w:pPr>
      <w:r>
        <w:rPr>
          <w:rFonts w:hint="eastAsia" w:ascii="黑体" w:hAnsi="黑体" w:eastAsia="黑体" w:cs="黑体"/>
          <w:sz w:val="32"/>
        </w:rPr>
        <w:t>专项检查表</w:t>
      </w:r>
    </w:p>
    <w:tbl>
      <w:tblPr>
        <w:tblStyle w:val="7"/>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595"/>
        <w:gridCol w:w="2887"/>
        <w:gridCol w:w="2190"/>
        <w:gridCol w:w="930"/>
        <w:gridCol w:w="910"/>
      </w:tblGrid>
      <w:tr w14:paraId="0B4C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48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FE6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35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具体检查细则</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93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完成情况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16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发现问题</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FA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整改要求</w:t>
            </w:r>
          </w:p>
        </w:tc>
      </w:tr>
      <w:tr w14:paraId="1D5D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DE6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86AB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一、是否符合医疗机构基本标准</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8F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医疗机构诊疗科室是否符合《医疗机构基本标准（试行）》要求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C8C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5E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66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3CAA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A91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BE4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25C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医疗机构住院病房设置是否符合《医疗机构基本标准（试行）》要求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91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53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FB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757A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13B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7A7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7A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医疗机构卫生技术人员配备是否符合《医疗机构基本标准（试行）》要求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EA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AE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F2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5B7B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E3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E4ED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二、医疗机构依法执业情况</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7C6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医疗机构名称使用是否规范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4FA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086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D61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488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37C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816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1E2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医疗机构是否超出登记诊疗科目范围从事诊疗活动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B73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5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3A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3690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0A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B1E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5E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医疗机构是否使用非卫生技术人员从事医疗卫生技术工作</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E9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CE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FC3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2802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7F0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F434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00D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医疗机构是否存在使用卫生技术人员从事本专业以外的诊疗活动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7EE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17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3D5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225B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55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ACC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8E9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医疗机构实际开放住院床位数量超出登记床位数量是否按照规定办理变更手续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01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8E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27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F3E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36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342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三、是否落实医疗质量安全管理要求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1FA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医疗质量管理和医疗技术管理制度是否健全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6A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8DA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4CC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4C0A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D6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96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99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医疗机构是否执行医疗质量安全管理核心制度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4BA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B6A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1F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5D60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19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9E9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CE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医疗机构是否制定并完善本机构医疗技术临床应用管理目录</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EE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1A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167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163C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84A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62D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5DC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医疗机构限制类技术临床应用是否符合管理要求（自我评估、备案、信息报告）</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66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55B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35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4F15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39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59B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25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医疗机构是否开展禁止类技术临床应用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18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59F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06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72C7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B95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5F2E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四、是否存在不合理诊疗行为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6F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医疗机构住院治疗指征是否符合规范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C1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DCA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33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4B93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65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ACC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801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医疗机构手术治疗指征及诊疗行为是否符合规范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E6B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7CB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76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11C4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5D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540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692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医疗机构使用设备实施的治疗性操作是否符合规范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141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1E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A5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67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55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DB91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96B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医疗机构是否违规提供基因检测服务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948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CE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19F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3DC4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E5B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D34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67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医疗机构是否违规开展套餐式检验</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DE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86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666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38DA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517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9B8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89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其他违反诊疗规范标准，实施不合理诊疗、不合理检查检验行为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43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FFA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C25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4E72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28E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60B8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五、是否存在违规用药行为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6F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医疗机构是否存在超出适应症、超出用法用量用药等超出说明书用药行为。重点检查糖尿病、偏瘫、高血压、肿瘤等慢性病药品，抗菌药物、麻精药品等用药行为。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8D9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685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196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0AC6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20B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508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99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医疗机构是否存在违规联合用药行为。重点检查糖尿病、偏瘫、高血压、肿瘤等慢性病药品，抗菌药物、麻精药品等用药行为。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799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D2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7DA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2AAC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C09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0B8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59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医疗机构是否存在违反医保政策违规重复开具同种同类药品等行为。重点检查糖尿病、偏瘫、高血压、肿瘤等慢性病药品，抗菌药物、麻精药品等用药行为。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69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53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6E4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47B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0F9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w:t>
            </w:r>
          </w:p>
        </w:tc>
        <w:tc>
          <w:tcPr>
            <w:tcW w:w="1595" w:type="dxa"/>
            <w:vMerge w:val="restart"/>
            <w:tcBorders>
              <w:top w:val="nil"/>
              <w:left w:val="single" w:color="000000" w:sz="4" w:space="0"/>
              <w:bottom w:val="single" w:color="000000" w:sz="4" w:space="0"/>
              <w:right w:val="single" w:color="000000" w:sz="4" w:space="0"/>
            </w:tcBorders>
            <w:shd w:val="clear" w:color="auto" w:fill="auto"/>
            <w:vAlign w:val="center"/>
          </w:tcPr>
          <w:p w14:paraId="0FD38C2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六、是否存在诱导群众就医行为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7EC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医疗机构是否存在以免费检查、治疗等名义诱导老年人等患者，对其实施非医学需要的住院治疗行为（非手术）。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AB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EF9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175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324B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4FC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w:t>
            </w:r>
          </w:p>
        </w:tc>
        <w:tc>
          <w:tcPr>
            <w:tcW w:w="1595" w:type="dxa"/>
            <w:vMerge w:val="continue"/>
            <w:tcBorders>
              <w:top w:val="nil"/>
              <w:left w:val="single" w:color="000000" w:sz="4" w:space="0"/>
              <w:bottom w:val="single" w:color="000000" w:sz="4" w:space="0"/>
              <w:right w:val="single" w:color="000000" w:sz="4" w:space="0"/>
            </w:tcBorders>
            <w:shd w:val="clear" w:color="auto" w:fill="auto"/>
            <w:vAlign w:val="center"/>
          </w:tcPr>
          <w:p w14:paraId="3709893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D7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医疗机构是否存在以免费检查、治疗等名义诱导老年人等患者，对其实施非医学需要的手术治疗行为。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E50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B5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4F2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5837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1F4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FB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七、是否存在虚增诊疗服务行为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85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医疗机构是否存在在实施诊疗过程中，虚构服务内容项目，开具医嘱、处方等，但未实际提供相应诊疗服务行为。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7AB">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9A6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03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954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B7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EF36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八、是否存在伪医学文书行为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88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医疗机构是否存在虚构患者，伪造病历、诊断证明等医学文书行为。重点检查住院治疗“挂空床”等问题。</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81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B56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CD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0667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8E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1A9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76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医疗机构是否存在虚构病情（患者真实），伪造病历、诊断证明等医学文书行为。重点检查住院治疗“挂空床”等问题。</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AFB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11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E28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B4C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D0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84E3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九、医师管理是否符合规范要求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319">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是否为医师建立医疗技术临床应用管理档案</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EF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45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3A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1DAC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4A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0F3A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E3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开展手术是否按照规定授予手术权限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C77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32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C5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6EC8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F8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964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89D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多机构执业医师是否按规定办理备案手续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7C9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73C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58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1F51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5CE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C00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03C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是否存在冒用其他医师名义开展诊疗活动等行为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018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82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57B0">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5471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D9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A3D9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十、是否存在强制诊疗行为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1A03">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医疗机构是否存在手术治疗违反“知情同意”规定临时强制加价行为。重点检查泌尿外、妇科等隐私性较强诊疗服务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E5E">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552">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C928">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07AB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F51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729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661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医疗机构是否存在操作性治疗违反“知情同意”规定临时强制加价行为。重点检查泌尿外、妇科等隐私性较强诊疗服务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C93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0E15">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FA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tc>
      </w:tr>
      <w:tr w14:paraId="10B9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6C8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6A1C">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十一、是否存在资金运转风险</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C9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主要排查有口腔、医疗美容专业的医疗机构，是否有预充值会员制等情况，是否存在资金链条断裂风险</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DCC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（1）是（2）否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3DA">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1780">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p>
        </w:tc>
      </w:tr>
    </w:tbl>
    <w:p w14:paraId="23C4BAD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1D86573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1503227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122CE9BF">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0D2BE52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336EB301">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2E7BE574">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61574E4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p>
    <w:p w14:paraId="254C21D3">
      <w:pPr>
        <w:pStyle w:val="3"/>
        <w:rPr>
          <w:rFonts w:hint="eastAsia" w:ascii="仿宋_GB2312" w:hAnsi="仿宋_GB2312" w:eastAsia="仿宋_GB2312" w:cs="仿宋_GB2312"/>
          <w:kern w:val="2"/>
          <w:sz w:val="32"/>
          <w:szCs w:val="32"/>
          <w:lang w:val="en-US" w:eastAsia="zh-CN" w:bidi="ar-SA"/>
        </w:rPr>
      </w:pPr>
    </w:p>
    <w:p w14:paraId="64496AE2">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附件6</w:t>
      </w:r>
    </w:p>
    <w:p w14:paraId="5DF24D64">
      <w:pPr>
        <w:pStyle w:val="3"/>
        <w:rPr>
          <w:rFonts w:hint="eastAsia" w:ascii="黑体" w:hAnsi="黑体" w:eastAsia="黑体" w:cs="黑体"/>
          <w:kern w:val="2"/>
          <w:sz w:val="32"/>
          <w:szCs w:val="32"/>
          <w:lang w:val="en-US" w:eastAsia="zh-CN" w:bidi="ar-SA"/>
        </w:rPr>
      </w:pPr>
    </w:p>
    <w:p w14:paraId="42245FDD">
      <w:pPr>
        <w:pStyle w:val="3"/>
        <w:keepNext w:val="0"/>
        <w:keepLines w:val="0"/>
        <w:pageBreakBefore w:val="0"/>
        <w:widowControl w:val="0"/>
        <w:kinsoku/>
        <w:wordWrap/>
        <w:overflowPunct/>
        <w:topLinePunct w:val="0"/>
        <w:autoSpaceDE/>
        <w:autoSpaceDN/>
        <w:bidi w:val="0"/>
        <w:adjustRightInd/>
        <w:snapToGrid w:val="0"/>
        <w:spacing w:line="578" w:lineRule="exact"/>
        <w:ind w:left="1896" w:leftChars="500" w:hanging="316" w:hangingChars="100"/>
        <w:jc w:val="both"/>
        <w:textAlignment w:val="auto"/>
        <w:rPr>
          <w:rFonts w:hint="eastAsia" w:ascii="黑体" w:hAnsi="黑体" w:eastAsia="黑体" w:cs="黑体"/>
          <w:sz w:val="32"/>
        </w:rPr>
      </w:pPr>
      <w:r>
        <w:rPr>
          <w:rFonts w:hint="eastAsia" w:ascii="黑体" w:hAnsi="黑体" w:eastAsia="黑体" w:cs="黑体"/>
          <w:sz w:val="32"/>
        </w:rPr>
        <w:t>天津市民营医疗机构依法执业规范诊疗</w:t>
      </w:r>
    </w:p>
    <w:p w14:paraId="3F73791F">
      <w:pPr>
        <w:pStyle w:val="3"/>
        <w:keepNext w:val="0"/>
        <w:keepLines w:val="0"/>
        <w:pageBreakBefore w:val="0"/>
        <w:widowControl w:val="0"/>
        <w:kinsoku/>
        <w:wordWrap/>
        <w:overflowPunct/>
        <w:topLinePunct w:val="0"/>
        <w:autoSpaceDE/>
        <w:autoSpaceDN/>
        <w:bidi w:val="0"/>
        <w:adjustRightInd/>
        <w:snapToGrid w:val="0"/>
        <w:spacing w:line="578" w:lineRule="exact"/>
        <w:ind w:firstLine="2528" w:firstLineChars="800"/>
        <w:jc w:val="both"/>
        <w:textAlignment w:val="auto"/>
        <w:rPr>
          <w:rFonts w:hint="eastAsia" w:ascii="黑体" w:hAnsi="黑体" w:eastAsia="黑体" w:cs="黑体"/>
          <w:sz w:val="32"/>
        </w:rPr>
      </w:pPr>
      <w:r>
        <w:rPr>
          <w:rFonts w:hint="eastAsia" w:ascii="黑体" w:hAnsi="黑体" w:eastAsia="黑体" w:cs="黑体"/>
          <w:sz w:val="32"/>
        </w:rPr>
        <w:t>专项检查发现问题汇总表</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2592"/>
        <w:gridCol w:w="2952"/>
        <w:gridCol w:w="3311"/>
      </w:tblGrid>
      <w:tr w14:paraId="626B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D7C6">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667">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检查医院名称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C04D">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发现问题</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1A6A">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整改要求</w:t>
            </w:r>
          </w:p>
        </w:tc>
      </w:tr>
      <w:tr w14:paraId="6FF0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8A57">
            <w:pPr>
              <w:jc w:val="center"/>
              <w:rPr>
                <w:rFonts w:hint="eastAsia" w:ascii="仿宋_GB2312" w:hAnsi="仿宋_GB2312" w:eastAsia="仿宋_GB2312" w:cs="仿宋_GB2312"/>
                <w:kern w:val="2"/>
                <w:sz w:val="32"/>
                <w:szCs w:val="32"/>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26D2">
            <w:pPr>
              <w:jc w:val="center"/>
              <w:rPr>
                <w:rFonts w:hint="eastAsia" w:ascii="仿宋_GB2312" w:hAnsi="仿宋_GB2312" w:eastAsia="仿宋_GB2312" w:cs="仿宋_GB2312"/>
                <w:kern w:val="2"/>
                <w:sz w:val="32"/>
                <w:szCs w:val="32"/>
                <w:lang w:val="en-US" w:eastAsia="zh-CN" w:bidi="ar-SA"/>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F7D">
            <w:pPr>
              <w:jc w:val="center"/>
              <w:rPr>
                <w:rFonts w:hint="eastAsia" w:ascii="仿宋_GB2312" w:hAnsi="仿宋_GB2312" w:eastAsia="仿宋_GB2312" w:cs="仿宋_GB2312"/>
                <w:kern w:val="2"/>
                <w:sz w:val="32"/>
                <w:szCs w:val="32"/>
                <w:lang w:val="en-US" w:eastAsia="zh-CN" w:bidi="ar-SA"/>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7A0">
            <w:pPr>
              <w:jc w:val="center"/>
              <w:rPr>
                <w:rFonts w:hint="eastAsia" w:ascii="仿宋_GB2312" w:hAnsi="仿宋_GB2312" w:eastAsia="仿宋_GB2312" w:cs="仿宋_GB2312"/>
                <w:kern w:val="2"/>
                <w:sz w:val="32"/>
                <w:szCs w:val="32"/>
                <w:lang w:val="en-US" w:eastAsia="zh-CN" w:bidi="ar-SA"/>
              </w:rPr>
            </w:pPr>
          </w:p>
        </w:tc>
      </w:tr>
      <w:tr w14:paraId="2CCD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E547">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91B">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AC9E">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483">
            <w:pPr>
              <w:jc w:val="center"/>
              <w:rPr>
                <w:rFonts w:hint="eastAsia" w:ascii="微软雅黑" w:hAnsi="微软雅黑" w:eastAsia="微软雅黑" w:cs="微软雅黑"/>
                <w:b/>
                <w:bCs/>
                <w:i w:val="0"/>
                <w:iCs w:val="0"/>
                <w:color w:val="000000"/>
                <w:sz w:val="22"/>
                <w:szCs w:val="22"/>
                <w:u w:val="none"/>
              </w:rPr>
            </w:pPr>
          </w:p>
        </w:tc>
      </w:tr>
      <w:tr w14:paraId="499A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645F">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5A2D">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0EA">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1BC">
            <w:pPr>
              <w:jc w:val="center"/>
              <w:rPr>
                <w:rFonts w:hint="eastAsia" w:ascii="微软雅黑" w:hAnsi="微软雅黑" w:eastAsia="微软雅黑" w:cs="微软雅黑"/>
                <w:b/>
                <w:bCs/>
                <w:i w:val="0"/>
                <w:iCs w:val="0"/>
                <w:color w:val="000000"/>
                <w:sz w:val="22"/>
                <w:szCs w:val="22"/>
                <w:u w:val="none"/>
              </w:rPr>
            </w:pPr>
          </w:p>
        </w:tc>
      </w:tr>
      <w:tr w14:paraId="602E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656">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15B6">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799">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8648">
            <w:pPr>
              <w:jc w:val="center"/>
              <w:rPr>
                <w:rFonts w:hint="eastAsia" w:ascii="微软雅黑" w:hAnsi="微软雅黑" w:eastAsia="微软雅黑" w:cs="微软雅黑"/>
                <w:b/>
                <w:bCs/>
                <w:i w:val="0"/>
                <w:iCs w:val="0"/>
                <w:color w:val="000000"/>
                <w:sz w:val="22"/>
                <w:szCs w:val="22"/>
                <w:u w:val="none"/>
              </w:rPr>
            </w:pPr>
          </w:p>
        </w:tc>
      </w:tr>
      <w:tr w14:paraId="06E2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4EBB">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24D">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659">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74C1">
            <w:pPr>
              <w:jc w:val="center"/>
              <w:rPr>
                <w:rFonts w:hint="eastAsia" w:ascii="微软雅黑" w:hAnsi="微软雅黑" w:eastAsia="微软雅黑" w:cs="微软雅黑"/>
                <w:b/>
                <w:bCs/>
                <w:i w:val="0"/>
                <w:iCs w:val="0"/>
                <w:color w:val="000000"/>
                <w:sz w:val="22"/>
                <w:szCs w:val="22"/>
                <w:u w:val="none"/>
              </w:rPr>
            </w:pPr>
          </w:p>
        </w:tc>
      </w:tr>
      <w:tr w14:paraId="7822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3F7">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994">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D18D">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D87">
            <w:pPr>
              <w:jc w:val="center"/>
              <w:rPr>
                <w:rFonts w:hint="eastAsia" w:ascii="微软雅黑" w:hAnsi="微软雅黑" w:eastAsia="微软雅黑" w:cs="微软雅黑"/>
                <w:b/>
                <w:bCs/>
                <w:i w:val="0"/>
                <w:iCs w:val="0"/>
                <w:color w:val="000000"/>
                <w:sz w:val="22"/>
                <w:szCs w:val="22"/>
                <w:u w:val="none"/>
              </w:rPr>
            </w:pPr>
          </w:p>
        </w:tc>
      </w:tr>
      <w:tr w14:paraId="48FE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B24">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3E1A">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BB69">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BC3">
            <w:pPr>
              <w:jc w:val="center"/>
              <w:rPr>
                <w:rFonts w:hint="eastAsia" w:ascii="微软雅黑" w:hAnsi="微软雅黑" w:eastAsia="微软雅黑" w:cs="微软雅黑"/>
                <w:b/>
                <w:bCs/>
                <w:i w:val="0"/>
                <w:iCs w:val="0"/>
                <w:color w:val="000000"/>
                <w:sz w:val="22"/>
                <w:szCs w:val="22"/>
                <w:u w:val="none"/>
              </w:rPr>
            </w:pPr>
          </w:p>
        </w:tc>
      </w:tr>
      <w:tr w14:paraId="261C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AC4">
            <w:pPr>
              <w:jc w:val="center"/>
              <w:rPr>
                <w:rFonts w:hint="eastAsia" w:ascii="微软雅黑" w:hAnsi="微软雅黑" w:eastAsia="微软雅黑" w:cs="微软雅黑"/>
                <w:b/>
                <w:bCs/>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F10F">
            <w:pPr>
              <w:jc w:val="center"/>
              <w:rPr>
                <w:rFonts w:hint="eastAsia" w:ascii="微软雅黑" w:hAnsi="微软雅黑" w:eastAsia="微软雅黑" w:cs="微软雅黑"/>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446">
            <w:pPr>
              <w:jc w:val="center"/>
              <w:rPr>
                <w:rFonts w:hint="eastAsia" w:ascii="微软雅黑" w:hAnsi="微软雅黑" w:eastAsia="微软雅黑" w:cs="微软雅黑"/>
                <w:b/>
                <w:bCs/>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73C">
            <w:pPr>
              <w:jc w:val="center"/>
              <w:rPr>
                <w:rFonts w:hint="eastAsia" w:ascii="微软雅黑" w:hAnsi="微软雅黑" w:eastAsia="微软雅黑" w:cs="微软雅黑"/>
                <w:b/>
                <w:bCs/>
                <w:i w:val="0"/>
                <w:iCs w:val="0"/>
                <w:color w:val="000000"/>
                <w:sz w:val="22"/>
                <w:szCs w:val="22"/>
                <w:u w:val="none"/>
              </w:rPr>
            </w:pPr>
          </w:p>
        </w:tc>
      </w:tr>
    </w:tbl>
    <w:p w14:paraId="4EECBFA7">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3422E1B4">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727CC9E9">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464FE705">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3E0926D6">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0FB71FCE">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1F059E2E">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39BA364F">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rPr>
      </w:pPr>
    </w:p>
    <w:p w14:paraId="570DDB55">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7</w:t>
      </w:r>
    </w:p>
    <w:p w14:paraId="70D9D36D">
      <w:pPr>
        <w:pStyle w:val="3"/>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黑体" w:hAnsi="黑体" w:eastAsia="黑体" w:cs="黑体"/>
          <w:sz w:val="32"/>
          <w:lang w:val="en-US" w:eastAsia="zh-CN"/>
        </w:rPr>
      </w:pPr>
    </w:p>
    <w:p w14:paraId="72648DF2">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1579" w:leftChars="0" w:firstLine="316" w:firstLineChars="100"/>
        <w:jc w:val="both"/>
        <w:textAlignment w:val="auto"/>
        <w:rPr>
          <w:rFonts w:hint="eastAsia" w:ascii="黑体" w:hAnsi="黑体" w:eastAsia="黑体" w:cs="黑体"/>
          <w:sz w:val="32"/>
          <w:lang w:eastAsia="zh-CN"/>
        </w:rPr>
      </w:pPr>
      <w:r>
        <w:rPr>
          <w:rFonts w:hint="eastAsia" w:ascii="黑体" w:hAnsi="黑体" w:eastAsia="黑体" w:cs="黑体"/>
          <w:sz w:val="32"/>
        </w:rPr>
        <w:t>XXX工作室、单位依法执业规范诊疗</w:t>
      </w:r>
      <w:r>
        <w:rPr>
          <w:rFonts w:hint="eastAsia" w:ascii="黑体" w:hAnsi="黑体" w:eastAsia="黑体" w:cs="黑体"/>
          <w:sz w:val="32"/>
          <w:lang w:eastAsia="zh-CN"/>
        </w:rPr>
        <w:t>专项</w:t>
      </w:r>
    </w:p>
    <w:p w14:paraId="4A2F7C84">
      <w:pPr>
        <w:pStyle w:val="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1579" w:leftChars="0" w:firstLine="1580" w:firstLineChars="500"/>
        <w:jc w:val="both"/>
        <w:textAlignment w:val="auto"/>
        <w:rPr>
          <w:rFonts w:hint="eastAsia" w:ascii="黑体" w:hAnsi="黑体" w:eastAsia="黑体" w:cs="黑体"/>
          <w:sz w:val="32"/>
        </w:rPr>
      </w:pPr>
      <w:r>
        <w:rPr>
          <w:rFonts w:hint="eastAsia" w:ascii="黑体" w:hAnsi="黑体" w:eastAsia="黑体" w:cs="黑体"/>
          <w:sz w:val="32"/>
        </w:rPr>
        <w:t>检查工作总结（模板）</w:t>
      </w:r>
    </w:p>
    <w:p w14:paraId="03A065F7">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一、专项行动部署情况</w:t>
      </w:r>
    </w:p>
    <w:p w14:paraId="02FA221E">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二、专项行动覆盖范围</w:t>
      </w:r>
    </w:p>
    <w:p w14:paraId="0C4C9637">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三、专项行动开展情况</w:t>
      </w:r>
    </w:p>
    <w:p w14:paraId="61D36A1F">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四、重点任务检查情况</w:t>
      </w:r>
    </w:p>
    <w:p w14:paraId="66B7238C">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1个方面列出）</w:t>
      </w:r>
    </w:p>
    <w:p w14:paraId="58ACA6B7">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五、发现的主要问题</w:t>
      </w:r>
    </w:p>
    <w:p w14:paraId="229F775A">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rPr>
      </w:pPr>
      <w:r>
        <w:rPr>
          <w:rFonts w:hint="eastAsia" w:ascii="仿宋_GB2312" w:hAnsi="仿宋_GB2312" w:eastAsia="仿宋_GB2312" w:cs="仿宋_GB2312"/>
          <w:kern w:val="2"/>
          <w:sz w:val="32"/>
          <w:szCs w:val="32"/>
          <w:lang w:val="en-US" w:eastAsia="zh-CN" w:bidi="ar-SA"/>
        </w:rPr>
        <w:t>六、规范发展的工作建议</w:t>
      </w:r>
    </w:p>
    <w:sectPr>
      <w:footerReference r:id="rId3" w:type="default"/>
      <w:footerReference r:id="rId4" w:type="even"/>
      <w:pgSz w:w="11906" w:h="16838"/>
      <w:pgMar w:top="2098" w:right="1531" w:bottom="1984" w:left="1531"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okChampa">
    <w:panose1 w:val="020B0604020202020204"/>
    <w:charset w:val="00"/>
    <w:family w:val="swiss"/>
    <w:pitch w:val="default"/>
    <w:sig w:usb0="03000003" w:usb1="00000000" w:usb2="00000000" w:usb3="00000000" w:csb0="40010001" w:csb1="00000000"/>
  </w:font>
  <w:font w:name="DejaVu Sans">
    <w:altName w:val="Segoe Print"/>
    <w:panose1 w:val="020B0603030804020204"/>
    <w:charset w:val="00"/>
    <w:family w:val="auto"/>
    <w:pitch w:val="default"/>
    <w:sig w:usb0="00000000" w:usb1="00000000" w:usb2="0A246029" w:usb3="0400200C" w:csb0="600001FF" w:csb1="DFFF0000"/>
  </w:font>
  <w:font w:name="Microsoft YaHei UI">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9124">
    <w:pPr>
      <w:pStyle w:val="3"/>
      <w:spacing w:line="360"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7A62">
                          <w:pPr>
                            <w:pStyle w:val="3"/>
                            <w:ind w:right="320" w:right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4F7A62">
                    <w:pPr>
                      <w:pStyle w:val="3"/>
                      <w:ind w:right="320" w:right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8206">
    <w:pPr>
      <w:pStyle w:val="3"/>
      <w:spacing w:line="360"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2A6BA">
                          <w:pPr>
                            <w:pStyle w:val="3"/>
                            <w:ind w:left="320" w:left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102A6BA">
                    <w:pPr>
                      <w:pStyle w:val="3"/>
                      <w:ind w:left="320" w:left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74035"/>
    <w:multiLevelType w:val="singleLevel"/>
    <w:tmpl w:val="CFD74035"/>
    <w:lvl w:ilvl="0" w:tentative="0">
      <w:start w:val="4"/>
      <w:numFmt w:val="chineseCounting"/>
      <w:suff w:val="nothing"/>
      <w:lvlText w:val="（%1）"/>
      <w:lvlJc w:val="left"/>
      <w:rPr>
        <w:rFonts w:hint="eastAsia"/>
      </w:rPr>
    </w:lvl>
  </w:abstractNum>
  <w:abstractNum w:abstractNumId="1">
    <w:nsid w:val="771F0F83"/>
    <w:multiLevelType w:val="singleLevel"/>
    <w:tmpl w:val="771F0F83"/>
    <w:lvl w:ilvl="0" w:tentative="0">
      <w:start w:val="1"/>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M2NhMjhhNGRlMjY0MzhiODY1YTE1OTJmZjMwZmIifQ=="/>
  </w:docVars>
  <w:rsids>
    <w:rsidRoot w:val="00172A27"/>
    <w:rsid w:val="001D516F"/>
    <w:rsid w:val="00274434"/>
    <w:rsid w:val="002A7B14"/>
    <w:rsid w:val="00396229"/>
    <w:rsid w:val="003D65BD"/>
    <w:rsid w:val="00410AFD"/>
    <w:rsid w:val="004C4CA8"/>
    <w:rsid w:val="004F5B15"/>
    <w:rsid w:val="007F31F0"/>
    <w:rsid w:val="008E3E90"/>
    <w:rsid w:val="0094777E"/>
    <w:rsid w:val="009C4F15"/>
    <w:rsid w:val="00AC2DD5"/>
    <w:rsid w:val="00C95F6D"/>
    <w:rsid w:val="00CC7799"/>
    <w:rsid w:val="00D8504E"/>
    <w:rsid w:val="00DD6119"/>
    <w:rsid w:val="00E57201"/>
    <w:rsid w:val="00E9010B"/>
    <w:rsid w:val="00ED347D"/>
    <w:rsid w:val="01C34939"/>
    <w:rsid w:val="01C845AC"/>
    <w:rsid w:val="01CA216C"/>
    <w:rsid w:val="0204567E"/>
    <w:rsid w:val="027E0277"/>
    <w:rsid w:val="029C58B6"/>
    <w:rsid w:val="02B0310F"/>
    <w:rsid w:val="030376E3"/>
    <w:rsid w:val="03241355"/>
    <w:rsid w:val="0334789D"/>
    <w:rsid w:val="035E5896"/>
    <w:rsid w:val="037707AD"/>
    <w:rsid w:val="04A11F0A"/>
    <w:rsid w:val="04BF4664"/>
    <w:rsid w:val="04DA62D4"/>
    <w:rsid w:val="056B77C2"/>
    <w:rsid w:val="0599432F"/>
    <w:rsid w:val="05B25CDD"/>
    <w:rsid w:val="05B45F7B"/>
    <w:rsid w:val="05F17CC7"/>
    <w:rsid w:val="062E4A77"/>
    <w:rsid w:val="069114AA"/>
    <w:rsid w:val="06DB53D8"/>
    <w:rsid w:val="06E17D3B"/>
    <w:rsid w:val="07283BBC"/>
    <w:rsid w:val="07585B24"/>
    <w:rsid w:val="089F1C5C"/>
    <w:rsid w:val="08C650A1"/>
    <w:rsid w:val="08C9728E"/>
    <w:rsid w:val="08D65DE1"/>
    <w:rsid w:val="09954E0D"/>
    <w:rsid w:val="09D51D99"/>
    <w:rsid w:val="0B8E420A"/>
    <w:rsid w:val="0CDE6ACB"/>
    <w:rsid w:val="0D98311E"/>
    <w:rsid w:val="0E4B61A1"/>
    <w:rsid w:val="0F3E45C9"/>
    <w:rsid w:val="0F6E05DA"/>
    <w:rsid w:val="105C6685"/>
    <w:rsid w:val="10B4201D"/>
    <w:rsid w:val="10C75DB2"/>
    <w:rsid w:val="119E2D08"/>
    <w:rsid w:val="11B261E6"/>
    <w:rsid w:val="12064C46"/>
    <w:rsid w:val="122D02D9"/>
    <w:rsid w:val="124F7981"/>
    <w:rsid w:val="128560CF"/>
    <w:rsid w:val="131619B5"/>
    <w:rsid w:val="13653AA2"/>
    <w:rsid w:val="13E56991"/>
    <w:rsid w:val="13F51386"/>
    <w:rsid w:val="1402516E"/>
    <w:rsid w:val="143771ED"/>
    <w:rsid w:val="148F7029"/>
    <w:rsid w:val="14A43FE2"/>
    <w:rsid w:val="15495527"/>
    <w:rsid w:val="15A801E6"/>
    <w:rsid w:val="15AF7257"/>
    <w:rsid w:val="165375D4"/>
    <w:rsid w:val="17887D5F"/>
    <w:rsid w:val="17A0383D"/>
    <w:rsid w:val="180513B0"/>
    <w:rsid w:val="184C10E0"/>
    <w:rsid w:val="18574D1C"/>
    <w:rsid w:val="18D36537"/>
    <w:rsid w:val="195A1FF2"/>
    <w:rsid w:val="1A4626CC"/>
    <w:rsid w:val="1A707A28"/>
    <w:rsid w:val="1AB30CFF"/>
    <w:rsid w:val="1AC05B4A"/>
    <w:rsid w:val="1B056B32"/>
    <w:rsid w:val="1B2A1FB6"/>
    <w:rsid w:val="1B6A0FC4"/>
    <w:rsid w:val="1B6A60FA"/>
    <w:rsid w:val="1BAD248A"/>
    <w:rsid w:val="1C0E117B"/>
    <w:rsid w:val="1C113ADB"/>
    <w:rsid w:val="1CA048A8"/>
    <w:rsid w:val="1CCE4466"/>
    <w:rsid w:val="1DAA4ED3"/>
    <w:rsid w:val="1DB05C66"/>
    <w:rsid w:val="1E311151"/>
    <w:rsid w:val="1F580BDA"/>
    <w:rsid w:val="1F5C5A06"/>
    <w:rsid w:val="1FC009DE"/>
    <w:rsid w:val="20AE2239"/>
    <w:rsid w:val="20CE6C4D"/>
    <w:rsid w:val="21C26CCA"/>
    <w:rsid w:val="21DA1AFF"/>
    <w:rsid w:val="21DF2D22"/>
    <w:rsid w:val="22864B1C"/>
    <w:rsid w:val="229B4DEB"/>
    <w:rsid w:val="22A67CBA"/>
    <w:rsid w:val="23E7405F"/>
    <w:rsid w:val="24030E16"/>
    <w:rsid w:val="240E2218"/>
    <w:rsid w:val="244D480A"/>
    <w:rsid w:val="24F450E7"/>
    <w:rsid w:val="24F5112A"/>
    <w:rsid w:val="252469A0"/>
    <w:rsid w:val="25317C88"/>
    <w:rsid w:val="26154253"/>
    <w:rsid w:val="26334B32"/>
    <w:rsid w:val="26462E73"/>
    <w:rsid w:val="268A48BC"/>
    <w:rsid w:val="271635D9"/>
    <w:rsid w:val="27A110F5"/>
    <w:rsid w:val="27EC1A96"/>
    <w:rsid w:val="27F702BD"/>
    <w:rsid w:val="280F7021"/>
    <w:rsid w:val="28E05833"/>
    <w:rsid w:val="2B25092E"/>
    <w:rsid w:val="2B39752B"/>
    <w:rsid w:val="2B4127A3"/>
    <w:rsid w:val="2B985FCE"/>
    <w:rsid w:val="2D241E80"/>
    <w:rsid w:val="2DBA01FC"/>
    <w:rsid w:val="2E2F6D2F"/>
    <w:rsid w:val="2E836496"/>
    <w:rsid w:val="2EB3170E"/>
    <w:rsid w:val="2ED81174"/>
    <w:rsid w:val="2F811C8A"/>
    <w:rsid w:val="304A48A8"/>
    <w:rsid w:val="30C00E8B"/>
    <w:rsid w:val="3152520E"/>
    <w:rsid w:val="31C14142"/>
    <w:rsid w:val="320C61BE"/>
    <w:rsid w:val="326571C3"/>
    <w:rsid w:val="327F0285"/>
    <w:rsid w:val="32B617CD"/>
    <w:rsid w:val="337E7A7C"/>
    <w:rsid w:val="33C96774"/>
    <w:rsid w:val="33F17A7B"/>
    <w:rsid w:val="34727975"/>
    <w:rsid w:val="347B0F20"/>
    <w:rsid w:val="357C3C11"/>
    <w:rsid w:val="358B4007"/>
    <w:rsid w:val="36B6623F"/>
    <w:rsid w:val="37682AA5"/>
    <w:rsid w:val="377E4FAF"/>
    <w:rsid w:val="378325C5"/>
    <w:rsid w:val="383B7230"/>
    <w:rsid w:val="385E0B9A"/>
    <w:rsid w:val="386F1302"/>
    <w:rsid w:val="38A5215C"/>
    <w:rsid w:val="38DA2963"/>
    <w:rsid w:val="38EC5F48"/>
    <w:rsid w:val="38FB265D"/>
    <w:rsid w:val="39627E83"/>
    <w:rsid w:val="39AA6383"/>
    <w:rsid w:val="39D23390"/>
    <w:rsid w:val="39D30548"/>
    <w:rsid w:val="3A4F49E1"/>
    <w:rsid w:val="3A7A2B7D"/>
    <w:rsid w:val="3AAB1E04"/>
    <w:rsid w:val="3AE33E37"/>
    <w:rsid w:val="3B1E43B3"/>
    <w:rsid w:val="3BC136BC"/>
    <w:rsid w:val="3C06552C"/>
    <w:rsid w:val="3C387F25"/>
    <w:rsid w:val="3C4A3258"/>
    <w:rsid w:val="3C6B3671"/>
    <w:rsid w:val="3C850B8E"/>
    <w:rsid w:val="3CAC0156"/>
    <w:rsid w:val="3D3659E4"/>
    <w:rsid w:val="3D464A97"/>
    <w:rsid w:val="3D597B1B"/>
    <w:rsid w:val="3D734E8A"/>
    <w:rsid w:val="3E0A1D58"/>
    <w:rsid w:val="3E364A2C"/>
    <w:rsid w:val="3E46434D"/>
    <w:rsid w:val="3E5C642F"/>
    <w:rsid w:val="3F0E1CB1"/>
    <w:rsid w:val="404E573A"/>
    <w:rsid w:val="40C6638E"/>
    <w:rsid w:val="413D6D08"/>
    <w:rsid w:val="419400DA"/>
    <w:rsid w:val="41C335A5"/>
    <w:rsid w:val="422E38E0"/>
    <w:rsid w:val="42825E6D"/>
    <w:rsid w:val="42D644E5"/>
    <w:rsid w:val="4304536C"/>
    <w:rsid w:val="433E3470"/>
    <w:rsid w:val="434B5199"/>
    <w:rsid w:val="43D30430"/>
    <w:rsid w:val="449C6A74"/>
    <w:rsid w:val="44F92825"/>
    <w:rsid w:val="45BC0AAE"/>
    <w:rsid w:val="4698770F"/>
    <w:rsid w:val="46A9250C"/>
    <w:rsid w:val="46FE3A16"/>
    <w:rsid w:val="472409CB"/>
    <w:rsid w:val="47280A93"/>
    <w:rsid w:val="476F0470"/>
    <w:rsid w:val="47C0229D"/>
    <w:rsid w:val="48074B4D"/>
    <w:rsid w:val="48494B8D"/>
    <w:rsid w:val="48504F86"/>
    <w:rsid w:val="48957EAE"/>
    <w:rsid w:val="48B47AB5"/>
    <w:rsid w:val="48BD0C22"/>
    <w:rsid w:val="49B303BC"/>
    <w:rsid w:val="4A0D1E66"/>
    <w:rsid w:val="4A392FB7"/>
    <w:rsid w:val="4A605415"/>
    <w:rsid w:val="4AC636BD"/>
    <w:rsid w:val="4AF84C20"/>
    <w:rsid w:val="4C2E0DF6"/>
    <w:rsid w:val="4C746914"/>
    <w:rsid w:val="4C8B1B78"/>
    <w:rsid w:val="4E3C3076"/>
    <w:rsid w:val="4E5C1FD0"/>
    <w:rsid w:val="4E9E788D"/>
    <w:rsid w:val="4EAA6232"/>
    <w:rsid w:val="4F245FE4"/>
    <w:rsid w:val="4F3571BC"/>
    <w:rsid w:val="4F365D17"/>
    <w:rsid w:val="4F4774FD"/>
    <w:rsid w:val="515F1DCB"/>
    <w:rsid w:val="5217644D"/>
    <w:rsid w:val="5276096C"/>
    <w:rsid w:val="52AF2069"/>
    <w:rsid w:val="52B8171C"/>
    <w:rsid w:val="52C76C27"/>
    <w:rsid w:val="52E33AC0"/>
    <w:rsid w:val="548A373E"/>
    <w:rsid w:val="54E23C5F"/>
    <w:rsid w:val="552F7491"/>
    <w:rsid w:val="5543118E"/>
    <w:rsid w:val="554D10C7"/>
    <w:rsid w:val="5568348D"/>
    <w:rsid w:val="55AA2C3A"/>
    <w:rsid w:val="567A298E"/>
    <w:rsid w:val="56B92F27"/>
    <w:rsid w:val="56D27B8C"/>
    <w:rsid w:val="57684EDC"/>
    <w:rsid w:val="58665841"/>
    <w:rsid w:val="591876AE"/>
    <w:rsid w:val="595E6596"/>
    <w:rsid w:val="598349C9"/>
    <w:rsid w:val="59DC460D"/>
    <w:rsid w:val="5A5C0D28"/>
    <w:rsid w:val="5AF02414"/>
    <w:rsid w:val="5B04715F"/>
    <w:rsid w:val="5B6413FD"/>
    <w:rsid w:val="5B762465"/>
    <w:rsid w:val="5B9A0DFA"/>
    <w:rsid w:val="5BE56AFB"/>
    <w:rsid w:val="5C333BAD"/>
    <w:rsid w:val="5C474C55"/>
    <w:rsid w:val="5C5D1D61"/>
    <w:rsid w:val="5C9B5433"/>
    <w:rsid w:val="5CA777D2"/>
    <w:rsid w:val="5D50269A"/>
    <w:rsid w:val="5D5E4DB7"/>
    <w:rsid w:val="5D890870"/>
    <w:rsid w:val="5EA90834"/>
    <w:rsid w:val="5F6C07F5"/>
    <w:rsid w:val="600D164E"/>
    <w:rsid w:val="6023654B"/>
    <w:rsid w:val="603440FE"/>
    <w:rsid w:val="60DB227B"/>
    <w:rsid w:val="610E4A4B"/>
    <w:rsid w:val="61151C31"/>
    <w:rsid w:val="612D68E5"/>
    <w:rsid w:val="61CA2A1B"/>
    <w:rsid w:val="622166A0"/>
    <w:rsid w:val="62785B47"/>
    <w:rsid w:val="62A91CD2"/>
    <w:rsid w:val="62C236F2"/>
    <w:rsid w:val="62DE42A4"/>
    <w:rsid w:val="6324615B"/>
    <w:rsid w:val="63910911"/>
    <w:rsid w:val="63FB1C97"/>
    <w:rsid w:val="6480033E"/>
    <w:rsid w:val="64E2640D"/>
    <w:rsid w:val="65646CE3"/>
    <w:rsid w:val="65BB400C"/>
    <w:rsid w:val="661848D1"/>
    <w:rsid w:val="66513968"/>
    <w:rsid w:val="666351EC"/>
    <w:rsid w:val="668F2BF0"/>
    <w:rsid w:val="66CA526B"/>
    <w:rsid w:val="66D7199B"/>
    <w:rsid w:val="66E130FE"/>
    <w:rsid w:val="67226E55"/>
    <w:rsid w:val="673D648C"/>
    <w:rsid w:val="678743FB"/>
    <w:rsid w:val="67C844ED"/>
    <w:rsid w:val="68CB0E27"/>
    <w:rsid w:val="68EA5751"/>
    <w:rsid w:val="692E2B62"/>
    <w:rsid w:val="69AE49D0"/>
    <w:rsid w:val="69D40B07"/>
    <w:rsid w:val="6A0C16F7"/>
    <w:rsid w:val="6A521020"/>
    <w:rsid w:val="6A535578"/>
    <w:rsid w:val="6AE357E9"/>
    <w:rsid w:val="6B6A05EB"/>
    <w:rsid w:val="6C5F138C"/>
    <w:rsid w:val="6C656622"/>
    <w:rsid w:val="6CD310E8"/>
    <w:rsid w:val="6CE6697F"/>
    <w:rsid w:val="6CEE4F76"/>
    <w:rsid w:val="6DBC53A9"/>
    <w:rsid w:val="6DC843F3"/>
    <w:rsid w:val="6DF46479"/>
    <w:rsid w:val="6E0D133F"/>
    <w:rsid w:val="6E295CCE"/>
    <w:rsid w:val="6E521366"/>
    <w:rsid w:val="6F012004"/>
    <w:rsid w:val="6F116467"/>
    <w:rsid w:val="6F153E5C"/>
    <w:rsid w:val="6FAB3FD0"/>
    <w:rsid w:val="6FCF498C"/>
    <w:rsid w:val="6FD50D3C"/>
    <w:rsid w:val="70926DFA"/>
    <w:rsid w:val="70BF4032"/>
    <w:rsid w:val="717107AE"/>
    <w:rsid w:val="718B55F7"/>
    <w:rsid w:val="71BB412E"/>
    <w:rsid w:val="71BC7CD8"/>
    <w:rsid w:val="72557EF5"/>
    <w:rsid w:val="72730BA8"/>
    <w:rsid w:val="729F135A"/>
    <w:rsid w:val="731879C4"/>
    <w:rsid w:val="73B309C6"/>
    <w:rsid w:val="745E5245"/>
    <w:rsid w:val="74A23383"/>
    <w:rsid w:val="74E6183A"/>
    <w:rsid w:val="74EB4D2A"/>
    <w:rsid w:val="74F31E31"/>
    <w:rsid w:val="754E350B"/>
    <w:rsid w:val="75633613"/>
    <w:rsid w:val="767C232B"/>
    <w:rsid w:val="77A8625B"/>
    <w:rsid w:val="79A61973"/>
    <w:rsid w:val="7A5B64AE"/>
    <w:rsid w:val="7AE55E77"/>
    <w:rsid w:val="7B252618"/>
    <w:rsid w:val="7B306FD9"/>
    <w:rsid w:val="7C8F5E0B"/>
    <w:rsid w:val="7D6E179C"/>
    <w:rsid w:val="7DBF4450"/>
    <w:rsid w:val="7E026C41"/>
    <w:rsid w:val="7E216F54"/>
    <w:rsid w:val="7E2D0162"/>
    <w:rsid w:val="7E5D76A5"/>
    <w:rsid w:val="7EAA3560"/>
    <w:rsid w:val="7F761D48"/>
    <w:rsid w:val="7FE505C8"/>
    <w:rsid w:val="9FBF2C05"/>
    <w:rsid w:val="EFF769DF"/>
    <w:rsid w:val="FAE58B7D"/>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next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Title"/>
    <w:next w:val="2"/>
    <w:qFormat/>
    <w:uiPriority w:val="10"/>
    <w:pPr>
      <w:widowControl w:val="0"/>
      <w:spacing w:before="240" w:after="60"/>
      <w:jc w:val="center"/>
      <w:outlineLvl w:val="0"/>
    </w:pPr>
    <w:rPr>
      <w:rFonts w:ascii="DejaVu Sans" w:hAnsi="DejaVu Sans" w:eastAsia="仿宋_GB2312" w:cs="Times New Roman"/>
      <w:b/>
      <w:kern w:val="2"/>
      <w:sz w:val="32"/>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26E5" w:themeColor="hyperlink"/>
      <w:u w:val="single"/>
      <w14:textFill>
        <w14:solidFill>
          <w14:schemeClr w14:val="hlink"/>
        </w14:solidFill>
      </w14:textFill>
    </w:rPr>
  </w:style>
  <w:style w:type="character" w:customStyle="1" w:styleId="11">
    <w:name w:val="Unresolved Mention"/>
    <w:basedOn w:val="9"/>
    <w:semiHidden/>
    <w:unhideWhenUsed/>
    <w:qFormat/>
    <w:uiPriority w:val="99"/>
    <w:rPr>
      <w:color w:val="605E5C"/>
      <w:shd w:val="clear" w:color="auto" w:fill="E1DFDD"/>
    </w:rPr>
  </w:style>
  <w:style w:type="character" w:customStyle="1" w:styleId="12">
    <w:name w:val="font4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81"/>
    <w:basedOn w:val="9"/>
    <w:qFormat/>
    <w:uiPriority w:val="0"/>
    <w:rPr>
      <w:rFonts w:ascii="Microsoft YaHei UI" w:hAnsi="Microsoft YaHei UI" w:eastAsia="Microsoft YaHei UI" w:cs="Microsoft YaHei U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8224</Words>
  <Characters>8585</Characters>
  <Lines>36</Lines>
  <Paragraphs>10</Paragraphs>
  <TotalTime>16</TotalTime>
  <ScaleCrop>false</ScaleCrop>
  <LinksUpToDate>false</LinksUpToDate>
  <CharactersWithSpaces>8721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2024-08-01T09:24:00Z</dcterms:created>
  <dc:creator>Administrator</dc:creator>
  <cp:lastModifiedBy>Administrator</cp:lastModifiedBy>
  <cp:lastPrinted>2024-08-02T17:20:00Z</cp:lastPrinted>
  <dcterms:modified xsi:type="dcterms:W3CDTF">2024-08-09T01:53:29Z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7792B823776448688BD8960A5EDADAD8_13</vt:lpwstr>
  </property>
</Properties>
</file>