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Chars="0" w:right="0" w:rightChars="0"/>
        <w:jc w:val="both"/>
        <w:textAlignment w:val="auto"/>
        <w:rPr>
          <w:rFonts w:hint="default" w:ascii="Times New Roman" w:hAnsi="Times New Roman" w:eastAsia="方正小标宋简体" w:cs="Times New Roman"/>
          <w:sz w:val="32"/>
          <w:szCs w:val="32"/>
          <w:lang w:val="en-US"/>
        </w:rPr>
      </w:pP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0" w:rightChars="0"/>
        <w:jc w:val="center"/>
        <w:textAlignment w:val="auto"/>
        <w:rPr>
          <w:rFonts w:ascii="Times New Roman" w:hAnsi="Times New Roman" w:eastAsia="方正小标宋简体" w:cs="Times New Roman"/>
          <w:bCs/>
          <w:sz w:val="44"/>
          <w:szCs w:val="44"/>
        </w:rPr>
      </w:pPr>
      <w:r>
        <w:rPr>
          <w:rFonts w:ascii="Times New Roman" w:hAnsi="Times New Roman" w:eastAsia="方正小标宋简体" w:cs="Times New Roman"/>
          <w:bCs/>
          <w:sz w:val="44"/>
          <w:szCs w:val="44"/>
        </w:rPr>
        <w:t>区爱卫办关于滨海新区202</w:t>
      </w:r>
      <w:r>
        <w:rPr>
          <w:rFonts w:hint="eastAsia" w:ascii="Times New Roman" w:hAnsi="Times New Roman" w:eastAsia="方正小标宋简体" w:cs="Times New Roman"/>
          <w:bCs/>
          <w:sz w:val="44"/>
          <w:szCs w:val="44"/>
          <w:lang w:val="en-US" w:eastAsia="zh-CN"/>
        </w:rPr>
        <w:t>4</w:t>
      </w:r>
      <w:r>
        <w:rPr>
          <w:rFonts w:ascii="Times New Roman" w:hAnsi="Times New Roman" w:eastAsia="方正小标宋简体" w:cs="Times New Roman"/>
          <w:bCs/>
          <w:sz w:val="44"/>
          <w:szCs w:val="44"/>
        </w:rPr>
        <w:t>年</w:t>
      </w:r>
      <w:r>
        <w:rPr>
          <w:rFonts w:hint="eastAsia" w:ascii="Times New Roman" w:hAnsi="Times New Roman" w:eastAsia="方正小标宋简体" w:cs="Times New Roman"/>
          <w:bCs/>
          <w:sz w:val="44"/>
          <w:szCs w:val="44"/>
          <w:lang w:val="en-US" w:eastAsia="zh-CN"/>
        </w:rPr>
        <w:t>4</w:t>
      </w:r>
      <w:r>
        <w:rPr>
          <w:rFonts w:ascii="Times New Roman" w:hAnsi="Times New Roman" w:eastAsia="方正小标宋简体" w:cs="Times New Roman"/>
          <w:bCs/>
          <w:sz w:val="44"/>
          <w:szCs w:val="44"/>
        </w:rPr>
        <w:t>月份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0" w:rightChars="0"/>
        <w:jc w:val="center"/>
        <w:textAlignment w:val="auto"/>
        <w:rPr>
          <w:rFonts w:ascii="Times New Roman" w:hAnsi="Times New Roman" w:eastAsia="方正小标宋简体" w:cs="Times New Roman"/>
          <w:bCs/>
          <w:sz w:val="44"/>
          <w:szCs w:val="44"/>
        </w:rPr>
      </w:pPr>
      <w:r>
        <w:rPr>
          <w:rFonts w:ascii="Times New Roman" w:hAnsi="Times New Roman" w:eastAsia="方正小标宋简体" w:cs="Times New Roman"/>
          <w:bCs/>
          <w:sz w:val="44"/>
          <w:szCs w:val="44"/>
        </w:rPr>
        <w:t>控烟执法监督情况的通报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0" w:rightChars="0"/>
        <w:textAlignment w:val="auto"/>
        <w:rPr>
          <w:rFonts w:ascii="Times New Roman" w:hAnsi="Times New Roman" w:eastAsia="宋体" w:cs="Times New Roman"/>
          <w:sz w:val="21"/>
          <w:szCs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0" w:rightChars="0"/>
        <w:textAlignment w:val="auto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区爱卫会各成员单位：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0" w:rightChars="0" w:firstLine="632" w:firstLineChars="200"/>
        <w:textAlignment w:val="auto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4</w:t>
      </w:r>
      <w:r>
        <w:rPr>
          <w:rFonts w:ascii="Times New Roman" w:hAnsi="Times New Roman" w:eastAsia="仿宋_GB2312" w:cs="Times New Roman"/>
          <w:sz w:val="32"/>
          <w:szCs w:val="32"/>
        </w:rPr>
        <w:t>月份，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我区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各控烟执法监督单位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贯彻落实</w:t>
      </w:r>
      <w:r>
        <w:rPr>
          <w:rFonts w:ascii="Times New Roman" w:hAnsi="Times New Roman" w:eastAsia="仿宋_GB2312" w:cs="Times New Roman"/>
          <w:color w:val="000000"/>
          <w:kern w:val="0"/>
          <w:sz w:val="32"/>
          <w:szCs w:val="32"/>
        </w:rPr>
        <w:t>《天津市控制吸烟条例》</w:t>
      </w: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</w:rPr>
        <w:t>，持续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开展控烟监督执法工作</w:t>
      </w: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</w:rPr>
        <w:t>，</w:t>
      </w: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  <w:t>强化控烟监督执法，规范社会控烟标准，</w:t>
      </w:r>
      <w:r>
        <w:rPr>
          <w:rFonts w:ascii="Times New Roman" w:hAnsi="Times New Roman" w:eastAsia="仿宋_GB2312" w:cs="Times New Roman"/>
          <w:sz w:val="32"/>
          <w:szCs w:val="32"/>
        </w:rPr>
        <w:t>现将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有关</w:t>
      </w:r>
      <w:r>
        <w:rPr>
          <w:rFonts w:ascii="Times New Roman" w:hAnsi="Times New Roman" w:eastAsia="仿宋_GB2312" w:cs="Times New Roman"/>
          <w:sz w:val="32"/>
          <w:szCs w:val="32"/>
        </w:rPr>
        <w:t>情况通报如下：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0" w:rightChars="0" w:firstLine="632" w:firstLineChars="200"/>
        <w:textAlignment w:val="auto"/>
        <w:rPr>
          <w:rFonts w:ascii="Times New Roman" w:hAnsi="Times New Roman" w:eastAsia="黑体" w:cs="Times New Roman"/>
          <w:sz w:val="32"/>
          <w:szCs w:val="32"/>
        </w:rPr>
      </w:pPr>
      <w:r>
        <w:rPr>
          <w:rFonts w:ascii="Times New Roman" w:hAnsi="Times New Roman" w:eastAsia="黑体" w:cs="Times New Roman"/>
          <w:sz w:val="32"/>
          <w:szCs w:val="32"/>
        </w:rPr>
        <w:t>一、控烟执法监督单位和职责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0" w:rightChars="0" w:firstLine="632" w:firstLineChars="200"/>
        <w:textAlignment w:val="auto"/>
        <w:rPr>
          <w:rFonts w:ascii="Times New Roman" w:hAnsi="Times New Roman" w:eastAsia="仿宋_GB2312" w:cs="Times New Roman"/>
          <w:color w:val="000000"/>
          <w:kern w:val="0"/>
          <w:sz w:val="32"/>
          <w:szCs w:val="32"/>
        </w:rPr>
      </w:pPr>
      <w:r>
        <w:rPr>
          <w:rFonts w:ascii="Times New Roman" w:hAnsi="Times New Roman" w:eastAsia="仿宋_GB2312" w:cs="Times New Roman"/>
          <w:color w:val="000000"/>
          <w:kern w:val="0"/>
          <w:sz w:val="32"/>
          <w:szCs w:val="32"/>
        </w:rPr>
        <w:t>1.区教体局、人社局按照职责分工负责各级各类学校及培训机构的监督执法。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0" w:rightChars="0" w:firstLine="632" w:firstLineChars="200"/>
        <w:textAlignment w:val="auto"/>
        <w:rPr>
          <w:rFonts w:ascii="Times New Roman" w:hAnsi="Times New Roman" w:eastAsia="仿宋_GB2312" w:cs="Times New Roman"/>
          <w:color w:val="000000"/>
          <w:kern w:val="0"/>
          <w:sz w:val="32"/>
          <w:szCs w:val="32"/>
        </w:rPr>
      </w:pPr>
      <w:r>
        <w:rPr>
          <w:rFonts w:ascii="Times New Roman" w:hAnsi="Times New Roman" w:eastAsia="仿宋_GB2312" w:cs="Times New Roman"/>
          <w:color w:val="000000"/>
          <w:kern w:val="0"/>
          <w:sz w:val="32"/>
          <w:szCs w:val="32"/>
        </w:rPr>
        <w:t>2.区文化和旅游局负责文化、艺术、娱乐场所以及文物保护单位的监督执法。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0" w:rightChars="0" w:firstLine="632" w:firstLineChars="200"/>
        <w:textAlignment w:val="auto"/>
        <w:rPr>
          <w:rFonts w:ascii="Times New Roman" w:hAnsi="Times New Roman" w:eastAsia="仿宋_GB2312" w:cs="Times New Roman"/>
          <w:color w:val="000000"/>
          <w:kern w:val="0"/>
          <w:sz w:val="32"/>
          <w:szCs w:val="32"/>
        </w:rPr>
      </w:pPr>
      <w:r>
        <w:rPr>
          <w:rFonts w:ascii="Times New Roman" w:hAnsi="Times New Roman" w:eastAsia="仿宋_GB2312" w:cs="Times New Roman"/>
          <w:color w:val="000000"/>
          <w:kern w:val="0"/>
          <w:sz w:val="32"/>
          <w:szCs w:val="32"/>
        </w:rPr>
        <w:t>3.区教体局负责公共体育场馆的监督执法。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0" w:rightChars="0" w:firstLine="632" w:firstLineChars="200"/>
        <w:textAlignment w:val="auto"/>
        <w:rPr>
          <w:rFonts w:ascii="Times New Roman" w:hAnsi="Times New Roman" w:eastAsia="仿宋_GB2312" w:cs="Times New Roman"/>
          <w:color w:val="000000"/>
          <w:kern w:val="0"/>
          <w:sz w:val="32"/>
          <w:szCs w:val="32"/>
        </w:rPr>
      </w:pPr>
      <w:r>
        <w:rPr>
          <w:rFonts w:ascii="Times New Roman" w:hAnsi="Times New Roman" w:eastAsia="仿宋_GB2312" w:cs="Times New Roman"/>
          <w:color w:val="000000"/>
          <w:kern w:val="0"/>
          <w:sz w:val="32"/>
          <w:szCs w:val="32"/>
        </w:rPr>
        <w:t>4.区公安局负责互联网上网服务营业场所，商场（店）、超市、书店等购物场所的室内营业区域，宾馆、旅店等提供住宿服务场所的室内公共区域的监督执法。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0" w:rightChars="0" w:firstLine="632" w:firstLineChars="200"/>
        <w:textAlignment w:val="auto"/>
        <w:rPr>
          <w:rFonts w:ascii="Times New Roman" w:hAnsi="Times New Roman" w:eastAsia="仿宋_GB2312" w:cs="Times New Roman"/>
          <w:color w:val="000000"/>
          <w:kern w:val="0"/>
          <w:sz w:val="32"/>
          <w:szCs w:val="32"/>
        </w:rPr>
      </w:pPr>
      <w:r>
        <w:rPr>
          <w:rFonts w:ascii="Times New Roman" w:hAnsi="Times New Roman" w:eastAsia="仿宋_GB2312" w:cs="Times New Roman"/>
          <w:color w:val="000000"/>
          <w:kern w:val="0"/>
          <w:sz w:val="32"/>
          <w:szCs w:val="32"/>
        </w:rPr>
        <w:t>5.区交通运输局负责客运公共汽车、长途汽车、电车、出租汽车、城市轨道交通车辆、船舶等公共交通工具内，以及售票厅、等候室、室内站台等室内区域的监督执法。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0" w:rightChars="0" w:firstLine="632" w:firstLineChars="200"/>
        <w:textAlignment w:val="auto"/>
        <w:rPr>
          <w:rFonts w:ascii="Times New Roman" w:hAnsi="Times New Roman" w:eastAsia="仿宋_GB2312" w:cs="Times New Roman"/>
          <w:color w:val="000000"/>
          <w:kern w:val="0"/>
          <w:sz w:val="32"/>
          <w:szCs w:val="32"/>
        </w:rPr>
      </w:pPr>
      <w:r>
        <w:rPr>
          <w:rFonts w:ascii="Times New Roman" w:hAnsi="Times New Roman" w:eastAsia="仿宋_GB2312" w:cs="Times New Roman"/>
          <w:color w:val="000000"/>
          <w:kern w:val="0"/>
          <w:sz w:val="32"/>
          <w:szCs w:val="32"/>
        </w:rPr>
        <w:t>6.</w:t>
      </w:r>
      <w:r>
        <w:rPr>
          <w:rFonts w:ascii="Times New Roman" w:hAnsi="Times New Roman" w:eastAsia="仿宋_GB2312" w:cs="Times New Roman"/>
          <w:kern w:val="0"/>
          <w:sz w:val="32"/>
          <w:szCs w:val="32"/>
        </w:rPr>
        <w:t>各开发区、</w:t>
      </w:r>
      <w:r>
        <w:rPr>
          <w:rFonts w:ascii="Times New Roman" w:hAnsi="Times New Roman" w:eastAsia="仿宋_GB2312" w:cs="Times New Roman"/>
          <w:color w:val="000000"/>
          <w:kern w:val="0"/>
          <w:sz w:val="32"/>
          <w:szCs w:val="32"/>
        </w:rPr>
        <w:t>各街镇负责辖区公园、公共浴室、餐饮等场所或者区域的监督执法。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0" w:rightChars="0" w:firstLine="632" w:firstLineChars="200"/>
        <w:textAlignment w:val="auto"/>
        <w:rPr>
          <w:rFonts w:ascii="Times New Roman" w:hAnsi="Times New Roman" w:eastAsia="仿宋_GB2312" w:cs="Times New Roman"/>
          <w:color w:val="000000"/>
          <w:kern w:val="0"/>
          <w:sz w:val="32"/>
          <w:szCs w:val="32"/>
        </w:rPr>
      </w:pPr>
      <w:r>
        <w:rPr>
          <w:rFonts w:ascii="Times New Roman" w:hAnsi="Times New Roman" w:eastAsia="仿宋_GB2312" w:cs="Times New Roman"/>
          <w:color w:val="000000"/>
          <w:kern w:val="0"/>
          <w:sz w:val="32"/>
          <w:szCs w:val="32"/>
        </w:rPr>
        <w:t>7.区民政局负责社会福利机构的监督执法。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0" w:rightChars="0" w:firstLine="632" w:firstLineChars="200"/>
        <w:textAlignment w:val="auto"/>
        <w:rPr>
          <w:rFonts w:ascii="Times New Roman" w:hAnsi="Times New Roman" w:eastAsia="仿宋_GB2312" w:cs="Times New Roman"/>
          <w:color w:val="000000"/>
          <w:kern w:val="0"/>
          <w:sz w:val="32"/>
          <w:szCs w:val="32"/>
        </w:rPr>
      </w:pPr>
      <w:r>
        <w:rPr>
          <w:rFonts w:ascii="Times New Roman" w:hAnsi="Times New Roman" w:eastAsia="仿宋_GB2312" w:cs="Times New Roman"/>
          <w:color w:val="000000"/>
          <w:kern w:val="0"/>
          <w:sz w:val="32"/>
          <w:szCs w:val="32"/>
        </w:rPr>
        <w:t>8.区卫生健康委负责各级各类医疗卫生机构，机关、团体，控烟条例第六条第十一项规定的区域（控烟条例第六条前十项以外的单位和组织的办公室、会议室、餐厅以及向公众提供金融、邮政、电信和其他公共服务的室内区域），科技馆（宫）等科教场所，少年宫、档案馆、青年宫、运动健身场所或者区域的监督执法。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0" w:rightChars="0" w:firstLine="632" w:firstLineChars="200"/>
        <w:textAlignment w:val="auto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/>
        </w:rPr>
        <w:t>9</w:t>
      </w:r>
      <w:r>
        <w:rPr>
          <w:rFonts w:ascii="Times New Roman" w:hAnsi="Times New Roman" w:eastAsia="仿宋_GB2312" w:cs="Times New Roman"/>
          <w:kern w:val="0"/>
          <w:sz w:val="32"/>
          <w:szCs w:val="32"/>
        </w:rPr>
        <w:t>.区政府机关事务管理局负</w:t>
      </w:r>
      <w:r>
        <w:rPr>
          <w:rFonts w:ascii="Times New Roman" w:hAnsi="Times New Roman" w:eastAsia="仿宋_GB2312" w:cs="Times New Roman"/>
          <w:color w:val="000000"/>
          <w:kern w:val="0"/>
          <w:sz w:val="32"/>
          <w:szCs w:val="32"/>
        </w:rPr>
        <w:t>责机关及其提供公共服务的室内区域控制吸烟工作的日常监督管理。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0" w:rightChars="0" w:firstLine="632" w:firstLineChars="200"/>
        <w:textAlignment w:val="auto"/>
        <w:rPr>
          <w:rFonts w:ascii="Times New Roman" w:hAnsi="Times New Roman" w:eastAsia="黑体" w:cs="Times New Roman"/>
          <w:sz w:val="32"/>
          <w:szCs w:val="32"/>
        </w:rPr>
      </w:pPr>
      <w:r>
        <w:rPr>
          <w:rFonts w:ascii="Times New Roman" w:hAnsi="Times New Roman" w:eastAsia="黑体" w:cs="Times New Roman"/>
          <w:sz w:val="32"/>
          <w:szCs w:val="32"/>
        </w:rPr>
        <w:t>二、执法监督情况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0" w:rightChars="0" w:firstLine="632" w:firstLineChars="200"/>
        <w:textAlignment w:val="auto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楷体_GB2312" w:cs="Times New Roman"/>
          <w:b/>
          <w:bCs/>
          <w:sz w:val="32"/>
          <w:szCs w:val="32"/>
        </w:rPr>
        <w:t>（一）投诉举报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0" w:rightChars="0" w:firstLine="632" w:firstLineChars="200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4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月份，保税区、泰达街和新北街发生</w:t>
      </w:r>
      <w:r>
        <w:rPr>
          <w:rFonts w:ascii="Times New Roman" w:hAnsi="Times New Roman" w:eastAsia="仿宋_GB2312" w:cs="Times New Roman"/>
          <w:sz w:val="32"/>
          <w:szCs w:val="32"/>
        </w:rPr>
        <w:t>群众投诉举报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事项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共5件次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，现场</w:t>
      </w:r>
      <w:r>
        <w:rPr>
          <w:rFonts w:ascii="Times New Roman" w:hAnsi="Times New Roman" w:eastAsia="仿宋_GB2312" w:cs="Times New Roman"/>
          <w:sz w:val="32"/>
          <w:szCs w:val="32"/>
        </w:rPr>
        <w:t>答复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处理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5件次</w:t>
      </w:r>
      <w:r>
        <w:rPr>
          <w:rFonts w:ascii="Times New Roman" w:hAnsi="Times New Roman" w:eastAsia="仿宋_GB2312" w:cs="Times New Roman"/>
          <w:sz w:val="32"/>
          <w:szCs w:val="32"/>
        </w:rPr>
        <w:t>。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其他执法单位未受理群众投诉举报。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0" w:rightChars="0" w:firstLine="632" w:firstLineChars="200"/>
        <w:textAlignment w:val="auto"/>
        <w:rPr>
          <w:rFonts w:ascii="Times New Roman" w:hAnsi="Times New Roman" w:eastAsia="楷体_GB2312" w:cs="Times New Roman"/>
          <w:b/>
          <w:bCs/>
          <w:sz w:val="32"/>
          <w:szCs w:val="32"/>
        </w:rPr>
      </w:pPr>
      <w:r>
        <w:rPr>
          <w:rFonts w:hint="eastAsia" w:ascii="Times New Roman" w:hAnsi="Times New Roman" w:eastAsia="楷体_GB2312" w:cs="Times New Roman"/>
          <w:b/>
          <w:bCs/>
          <w:kern w:val="2"/>
          <w:sz w:val="32"/>
          <w:szCs w:val="32"/>
          <w:lang w:val="en-US" w:eastAsia="zh-CN" w:bidi="ar-SA"/>
        </w:rPr>
        <w:t>（二）</w:t>
      </w:r>
      <w:r>
        <w:rPr>
          <w:rFonts w:ascii="Times New Roman" w:hAnsi="Times New Roman" w:eastAsia="楷体_GB2312" w:cs="Times New Roman"/>
          <w:b/>
          <w:bCs/>
          <w:sz w:val="32"/>
          <w:szCs w:val="32"/>
        </w:rPr>
        <w:t>监督执法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0" w:rightChars="0" w:firstLine="632" w:firstLineChars="200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除区人社局，其他3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家控烟执法监督单位（各开发区、街镇和控烟执法部门）持续开展了控烟监督执法活动，组织执法人员按职责分工开展现场检查，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当月开展控烟执法1036</w:t>
      </w:r>
      <w:r>
        <w:rPr>
          <w:rFonts w:ascii="Times New Roman" w:hAnsi="Times New Roman" w:eastAsia="仿宋_GB2312" w:cs="Times New Roman"/>
          <w:sz w:val="32"/>
          <w:szCs w:val="32"/>
        </w:rPr>
        <w:t>次，与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上月1024</w:t>
      </w:r>
      <w:r>
        <w:rPr>
          <w:rFonts w:ascii="Times New Roman" w:hAnsi="Times New Roman" w:eastAsia="仿宋_GB2312" w:cs="Times New Roman"/>
          <w:sz w:val="32"/>
          <w:szCs w:val="32"/>
        </w:rPr>
        <w:t>次相比，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基本持平</w:t>
      </w:r>
      <w:r>
        <w:rPr>
          <w:rFonts w:ascii="Times New Roman" w:hAnsi="Times New Roman" w:eastAsia="仿宋_GB2312" w:cs="Times New Roman"/>
          <w:sz w:val="32"/>
          <w:szCs w:val="32"/>
        </w:rPr>
        <w:t>；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出动</w:t>
      </w:r>
      <w:r>
        <w:rPr>
          <w:rFonts w:ascii="Times New Roman" w:hAnsi="Times New Roman" w:eastAsia="仿宋_GB2312" w:cs="Times New Roman"/>
          <w:sz w:val="32"/>
          <w:szCs w:val="32"/>
        </w:rPr>
        <w:t>执法人员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2405</w:t>
      </w:r>
      <w:r>
        <w:rPr>
          <w:rFonts w:ascii="Times New Roman" w:hAnsi="Times New Roman" w:eastAsia="仿宋_GB2312" w:cs="Times New Roman"/>
          <w:sz w:val="32"/>
          <w:szCs w:val="32"/>
        </w:rPr>
        <w:t>人次，与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上月2631</w:t>
      </w:r>
      <w:r>
        <w:rPr>
          <w:rFonts w:ascii="Times New Roman" w:hAnsi="Times New Roman" w:eastAsia="仿宋_GB2312" w:cs="Times New Roman"/>
          <w:sz w:val="32"/>
          <w:szCs w:val="32"/>
        </w:rPr>
        <w:t>人次相比，环比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下降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8.58</w:t>
      </w:r>
      <w:r>
        <w:rPr>
          <w:rFonts w:ascii="Times New Roman" w:hAnsi="Times New Roman" w:eastAsia="仿宋_GB2312" w:cs="Times New Roman"/>
          <w:sz w:val="32"/>
          <w:szCs w:val="32"/>
        </w:rPr>
        <w:t>%；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成功劝阻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227</w:t>
      </w:r>
      <w:r>
        <w:rPr>
          <w:rFonts w:ascii="Times New Roman" w:hAnsi="Times New Roman" w:eastAsia="仿宋_GB2312" w:cs="Times New Roman"/>
          <w:sz w:val="32"/>
          <w:szCs w:val="32"/>
        </w:rPr>
        <w:t>人次，与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上月276</w:t>
      </w:r>
      <w:r>
        <w:rPr>
          <w:rFonts w:ascii="Times New Roman" w:hAnsi="Times New Roman" w:eastAsia="仿宋_GB2312" w:cs="Times New Roman"/>
          <w:sz w:val="32"/>
          <w:szCs w:val="32"/>
        </w:rPr>
        <w:t>人次相比，环比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下降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17.75</w:t>
      </w:r>
      <w:r>
        <w:rPr>
          <w:rFonts w:ascii="Times New Roman" w:hAnsi="Times New Roman" w:eastAsia="仿宋_GB2312" w:cs="Times New Roman"/>
          <w:sz w:val="32"/>
          <w:szCs w:val="32"/>
        </w:rPr>
        <w:t>%。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0" w:rightChars="0" w:firstLine="632" w:firstLineChars="200"/>
        <w:textAlignment w:val="auto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楷体_GB2312" w:cs="Times New Roman"/>
          <w:b/>
          <w:bCs/>
          <w:sz w:val="32"/>
          <w:szCs w:val="32"/>
        </w:rPr>
        <w:t>（三）行政处罚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0" w:rightChars="0" w:firstLine="632" w:firstLineChars="200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4月份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，茶淀街</w:t>
      </w:r>
      <w:r>
        <w:rPr>
          <w:rFonts w:ascii="Times New Roman" w:hAnsi="Times New Roman" w:eastAsia="仿宋_GB2312" w:cs="Times New Roman"/>
          <w:sz w:val="32"/>
          <w:szCs w:val="32"/>
        </w:rPr>
        <w:t>发生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1例</w:t>
      </w:r>
      <w:r>
        <w:rPr>
          <w:rFonts w:ascii="Times New Roman" w:hAnsi="Times New Roman" w:eastAsia="仿宋_GB2312" w:cs="Times New Roman"/>
          <w:sz w:val="32"/>
          <w:szCs w:val="32"/>
        </w:rPr>
        <w:t>控烟行政处罚事项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，</w:t>
      </w:r>
      <w:r>
        <w:rPr>
          <w:rFonts w:ascii="Times New Roman" w:hAnsi="Times New Roman" w:eastAsia="仿宋_GB2312" w:cs="Times New Roman"/>
          <w:sz w:val="32"/>
          <w:szCs w:val="32"/>
        </w:rPr>
        <w:t>为对个人处罚，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与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上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月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4</w:t>
      </w:r>
      <w:r>
        <w:rPr>
          <w:rFonts w:ascii="Times New Roman" w:hAnsi="Times New Roman" w:eastAsia="仿宋_GB2312" w:cs="Times New Roman"/>
          <w:sz w:val="32"/>
          <w:szCs w:val="32"/>
        </w:rPr>
        <w:t>件次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相比，</w:t>
      </w:r>
      <w:r>
        <w:rPr>
          <w:rFonts w:ascii="Times New Roman" w:hAnsi="Times New Roman" w:eastAsia="仿宋_GB2312" w:cs="Times New Roman"/>
          <w:sz w:val="32"/>
          <w:szCs w:val="32"/>
        </w:rPr>
        <w:t>环比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下降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300</w:t>
      </w:r>
      <w:r>
        <w:rPr>
          <w:rFonts w:ascii="Times New Roman" w:hAnsi="Times New Roman" w:eastAsia="仿宋_GB2312" w:cs="Times New Roman"/>
          <w:sz w:val="32"/>
          <w:szCs w:val="32"/>
        </w:rPr>
        <w:t>%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，</w:t>
      </w:r>
      <w:r>
        <w:rPr>
          <w:rFonts w:ascii="Times New Roman" w:hAnsi="Times New Roman" w:eastAsia="仿宋_GB2312" w:cs="Times New Roman"/>
          <w:sz w:val="32"/>
          <w:szCs w:val="32"/>
        </w:rPr>
        <w:t>处罚金额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50</w:t>
      </w:r>
      <w:r>
        <w:rPr>
          <w:rFonts w:ascii="Times New Roman" w:hAnsi="Times New Roman" w:eastAsia="仿宋_GB2312" w:cs="Times New Roman"/>
          <w:sz w:val="32"/>
          <w:szCs w:val="32"/>
        </w:rPr>
        <w:t>元。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未发生对单位违法行为的行政处罚事项。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32" w:firstLineChars="200"/>
        <w:textAlignment w:val="auto"/>
        <w:rPr>
          <w:rFonts w:hint="eastAsia" w:ascii="Times New Roman" w:hAnsi="Times New Roman" w:eastAsia="黑体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黑体" w:cs="Times New Roman"/>
          <w:kern w:val="2"/>
          <w:sz w:val="32"/>
          <w:szCs w:val="32"/>
          <w:lang w:val="en-US" w:eastAsia="zh-CN" w:bidi="ar-SA"/>
        </w:rPr>
        <w:t>三、</w:t>
      </w:r>
      <w:r>
        <w:rPr>
          <w:rFonts w:hint="eastAsia" w:ascii="Times New Roman" w:hAnsi="Times New Roman" w:eastAsia="黑体" w:cs="Times New Roman"/>
          <w:sz w:val="32"/>
          <w:szCs w:val="32"/>
          <w:lang w:val="en-US" w:eastAsia="zh-CN"/>
        </w:rPr>
        <w:t>月度执法监督反馈情况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0" w:rightChars="0" w:firstLine="632" w:firstLineChars="200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4月份，7个部门、5个开发区和21个街镇均按时按要求报送了月度控烟监督执法情况。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firstLine="632" w:firstLineChars="200"/>
        <w:textAlignment w:val="auto"/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黑体" w:cs="Times New Roman"/>
          <w:kern w:val="2"/>
          <w:sz w:val="32"/>
          <w:szCs w:val="32"/>
          <w:lang w:val="en-US" w:eastAsia="zh-CN" w:bidi="ar-SA"/>
        </w:rPr>
        <w:t>四、</w:t>
      </w:r>
      <w:r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  <w:t>下一步工作要求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32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（一）强化控烟宣传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eastAsia="zh-CN"/>
        </w:rPr>
        <w:t>。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第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37个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世界无烟日临近，各单位要以此为契机，</w:t>
      </w:r>
      <w:r>
        <w:rPr>
          <w:rFonts w:hint="eastAsia" w:ascii="仿宋_GB2312" w:hAnsi="仿宋_GB2312" w:eastAsia="仿宋_GB2312" w:cs="仿宋_GB2312"/>
          <w:sz w:val="32"/>
          <w:szCs w:val="32"/>
        </w:rPr>
        <w:t>加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大</w:t>
      </w:r>
      <w:r>
        <w:rPr>
          <w:rFonts w:hint="eastAsia" w:ascii="仿宋_GB2312" w:hAnsi="仿宋_GB2312" w:eastAsia="仿宋_GB2312" w:cs="仿宋_GB2312"/>
          <w:sz w:val="32"/>
          <w:szCs w:val="32"/>
        </w:rPr>
        <w:t>对《天津市控烟条例》的宣传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力度</w:t>
      </w:r>
      <w:r>
        <w:rPr>
          <w:rFonts w:hint="eastAsia" w:ascii="仿宋_GB2312" w:hAnsi="仿宋_GB2312" w:eastAsia="仿宋_GB2312" w:cs="仿宋_GB2312"/>
          <w:sz w:val="32"/>
          <w:szCs w:val="32"/>
        </w:rPr>
        <w:t>，大力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倡导</w:t>
      </w:r>
      <w:r>
        <w:rPr>
          <w:rFonts w:hint="eastAsia" w:ascii="仿宋_GB2312" w:hAnsi="仿宋_GB2312" w:eastAsia="仿宋_GB2312" w:cs="仿宋_GB2312"/>
          <w:sz w:val="32"/>
          <w:szCs w:val="32"/>
        </w:rPr>
        <w:t>社会控烟法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治</w:t>
      </w:r>
      <w:r>
        <w:rPr>
          <w:rFonts w:hint="eastAsia" w:ascii="仿宋_GB2312" w:hAnsi="仿宋_GB2312" w:eastAsia="仿宋_GB2312" w:cs="仿宋_GB2312"/>
          <w:sz w:val="32"/>
          <w:szCs w:val="32"/>
        </w:rPr>
        <w:t>观念，培育吸烟者自律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行为</w:t>
      </w:r>
      <w:r>
        <w:rPr>
          <w:rFonts w:hint="eastAsia" w:ascii="仿宋_GB2312" w:hAnsi="仿宋_GB2312" w:eastAsia="仿宋_GB2312" w:cs="仿宋_GB2312"/>
          <w:sz w:val="32"/>
          <w:szCs w:val="32"/>
        </w:rPr>
        <w:t>，强化公共场所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禁</w:t>
      </w:r>
      <w:r>
        <w:rPr>
          <w:rFonts w:hint="eastAsia" w:ascii="仿宋_GB2312" w:hAnsi="仿宋_GB2312" w:eastAsia="仿宋_GB2312" w:cs="仿宋_GB2312"/>
          <w:sz w:val="32"/>
          <w:szCs w:val="32"/>
        </w:rPr>
        <w:t>用烟草的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文明意识</w:t>
      </w:r>
      <w:r>
        <w:rPr>
          <w:rFonts w:hint="eastAsia" w:ascii="仿宋_GB2312" w:hAnsi="仿宋_GB2312" w:eastAsia="仿宋_GB2312" w:cs="仿宋_GB2312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形成</w:t>
      </w:r>
      <w:r>
        <w:rPr>
          <w:rFonts w:hint="eastAsia" w:ascii="仿宋_GB2312" w:hAnsi="仿宋_GB2312" w:eastAsia="仿宋_GB2312" w:cs="仿宋_GB2312"/>
          <w:sz w:val="32"/>
          <w:szCs w:val="32"/>
        </w:rPr>
        <w:t>对法规的敬畏之心。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同时，</w:t>
      </w:r>
      <w:r>
        <w:rPr>
          <w:rFonts w:hint="eastAsia" w:ascii="仿宋_GB2312" w:hAnsi="仿宋_GB2312" w:eastAsia="仿宋_GB2312" w:cs="仿宋_GB2312"/>
          <w:sz w:val="32"/>
          <w:szCs w:val="32"/>
        </w:rPr>
        <w:t>利用各种媒介，采取多种形式，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向干部职工和社区群众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积极普及烟草危害知识，大力倡导文明健康生活方式，保持对自身健康的关注，公共场所文明用烟。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32" w:firstLineChars="200"/>
        <w:textAlignment w:val="auto"/>
        <w:rPr>
          <w:rFonts w:ascii="Times New Roman" w:hAnsi="Times New Roman" w:eastAsia="楷体_GB2312" w:cs="Times New Roman"/>
          <w:b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（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eastAsia="zh-CN"/>
        </w:rPr>
        <w:t>二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）强化监督执法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</w:rPr>
        <w:t>各控烟监督执法单位要有计划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地</w:t>
      </w:r>
      <w:r>
        <w:rPr>
          <w:rFonts w:hint="eastAsia" w:ascii="仿宋_GB2312" w:hAnsi="仿宋_GB2312" w:eastAsia="仿宋_GB2312" w:cs="仿宋_GB2312"/>
          <w:sz w:val="32"/>
          <w:szCs w:val="32"/>
        </w:rPr>
        <w:t>持续开展监督执法工作，严格执法程序，监督落实条例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规定</w:t>
      </w:r>
      <w:r>
        <w:rPr>
          <w:rFonts w:hint="eastAsia" w:ascii="仿宋_GB2312" w:hAnsi="仿宋_GB2312" w:eastAsia="仿宋_GB2312" w:cs="仿宋_GB2312"/>
          <w:sz w:val="32"/>
          <w:szCs w:val="32"/>
        </w:rPr>
        <w:t>，切实形成违法必究的高压态势；对屡次违反条例规定的单位和个人要加重处罚,绝不姑息，逐渐形成示范效应。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各</w:t>
      </w:r>
      <w:r>
        <w:rPr>
          <w:rFonts w:hint="eastAsia" w:ascii="仿宋_GB2312" w:hAnsi="仿宋_GB2312" w:eastAsia="仿宋_GB2312" w:cs="仿宋_GB2312"/>
          <w:sz w:val="32"/>
          <w:szCs w:val="32"/>
        </w:rPr>
        <w:t>单位要切实按照无烟党政机关、无烟医疗卫生机构和无烟学校建设要求，加强对机关干部、单位职工和在校师生的管理，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推动制度落实，</w:t>
      </w:r>
      <w:r>
        <w:rPr>
          <w:rFonts w:hint="eastAsia" w:ascii="仿宋_GB2312" w:hAnsi="仿宋_GB2312" w:eastAsia="仿宋_GB2312" w:cs="仿宋_GB2312"/>
          <w:sz w:val="32"/>
          <w:szCs w:val="32"/>
        </w:rPr>
        <w:t>强化制度约束，真正建立起无烟工作学习环境。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0" w:rightChars="0" w:firstLine="632" w:firstLineChars="200"/>
        <w:textAlignment w:val="auto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0" w:rightChars="0" w:firstLine="632" w:firstLineChars="200"/>
        <w:textAlignment w:val="auto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附件：滨海新区202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4</w:t>
      </w:r>
      <w:r>
        <w:rPr>
          <w:rFonts w:ascii="Times New Roman" w:hAnsi="Times New Roman" w:eastAsia="仿宋_GB2312" w:cs="Times New Roman"/>
          <w:sz w:val="32"/>
          <w:szCs w:val="32"/>
        </w:rPr>
        <w:t>年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4</w:t>
      </w:r>
      <w:r>
        <w:rPr>
          <w:rFonts w:ascii="Times New Roman" w:hAnsi="Times New Roman" w:eastAsia="仿宋_GB2312" w:cs="Times New Roman"/>
          <w:sz w:val="32"/>
          <w:szCs w:val="32"/>
        </w:rPr>
        <w:t>月份控烟监督</w:t>
      </w:r>
      <w:r>
        <w:rPr>
          <w:rFonts w:ascii="Times New Roman" w:hAnsi="Times New Roman" w:eastAsia="仿宋_GB2312" w:cs="Times New Roman"/>
          <w:sz w:val="32"/>
          <w:szCs w:val="32"/>
          <w:lang w:val="en"/>
        </w:rPr>
        <w:t>执法情况汇总</w:t>
      </w:r>
      <w:r>
        <w:rPr>
          <w:rFonts w:ascii="Times New Roman" w:hAnsi="Times New Roman" w:eastAsia="仿宋_GB2312" w:cs="Times New Roman"/>
          <w:sz w:val="32"/>
          <w:szCs w:val="32"/>
        </w:rPr>
        <w:t>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40" w:lineRule="exact"/>
        <w:ind w:leftChars="0" w:right="0" w:rightChars="0"/>
        <w:jc w:val="left"/>
        <w:textAlignment w:val="auto"/>
        <w:rPr>
          <w:rFonts w:ascii="Times New Roman" w:hAnsi="Times New Roman" w:eastAsia="仿宋_GB2312" w:cs="Times New Roman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40" w:lineRule="exact"/>
        <w:ind w:leftChars="0" w:right="0" w:rightChars="0"/>
        <w:jc w:val="left"/>
        <w:textAlignment w:val="auto"/>
        <w:rPr>
          <w:rFonts w:ascii="Times New Roman" w:hAnsi="Times New Roman" w:eastAsia="仿宋_GB2312" w:cs="Times New Roman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40" w:lineRule="exact"/>
        <w:ind w:leftChars="0" w:right="0" w:rightChars="0" w:firstLine="5688" w:firstLineChars="1800"/>
        <w:jc w:val="left"/>
        <w:textAlignment w:val="auto"/>
        <w:rPr>
          <w:rFonts w:hint="eastAsia" w:ascii="Times New Roman" w:hAnsi="Times New Roman" w:cs="Times New Roman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cs="Times New Roman"/>
          <w:color w:val="000000"/>
          <w:kern w:val="0"/>
          <w:sz w:val="32"/>
          <w:szCs w:val="32"/>
          <w:lang w:val="en-US" w:eastAsia="zh-CN"/>
        </w:rPr>
        <w:t>区爱卫办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40" w:lineRule="exact"/>
        <w:ind w:leftChars="0" w:right="1264" w:rightChars="400"/>
        <w:jc w:val="right"/>
        <w:textAlignment w:val="auto"/>
        <w:rPr>
          <w:rFonts w:hint="eastAsia" w:ascii="Times New Roman" w:hAnsi="Times New Roman" w:cs="Times New Roman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cs="Times New Roman"/>
          <w:color w:val="000000"/>
          <w:kern w:val="0"/>
          <w:sz w:val="32"/>
          <w:szCs w:val="32"/>
          <w:lang w:val="en-US" w:eastAsia="zh-CN"/>
        </w:rPr>
        <w:t>2024年5月13日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40" w:lineRule="exact"/>
        <w:ind w:leftChars="0" w:right="0" w:rightChars="0" w:firstLine="632" w:firstLineChars="200"/>
        <w:jc w:val="left"/>
        <w:textAlignment w:val="auto"/>
        <w:rPr>
          <w:rFonts w:hint="eastAsia" w:ascii="Times New Roman" w:hAnsi="Times New Roman" w:cs="Times New Roman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cs="Times New Roman"/>
          <w:color w:val="000000"/>
          <w:kern w:val="0"/>
          <w:sz w:val="32"/>
          <w:szCs w:val="32"/>
          <w:lang w:val="en-US" w:eastAsia="zh-CN"/>
        </w:rPr>
        <w:t>（此件主动公开）</w:t>
      </w:r>
    </w:p>
    <w:p>
      <w:pPr>
        <w:rPr>
          <w:rFonts w:hint="eastAsia" w:ascii="Times New Roman" w:hAnsi="Times New Roman" w:cs="Times New Roman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cs="Times New Roman"/>
          <w:color w:val="000000"/>
          <w:kern w:val="0"/>
          <w:sz w:val="32"/>
          <w:szCs w:val="32"/>
          <w:lang w:val="en-US" w:eastAsia="zh-CN"/>
        </w:rPr>
        <w:br w:type="page"/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78" w:lineRule="exact"/>
        <w:ind w:leftChars="0" w:right="0" w:rightChars="0" w:firstLine="632" w:firstLineChars="200"/>
        <w:jc w:val="left"/>
        <w:textAlignment w:val="auto"/>
        <w:rPr>
          <w:rFonts w:hint="default" w:ascii="Times New Roman" w:hAnsi="Times New Roman" w:cs="Times New Roman"/>
          <w:color w:val="000000"/>
          <w:kern w:val="0"/>
          <w:sz w:val="32"/>
          <w:szCs w:val="32"/>
          <w:lang w:val="en-US" w:eastAsia="zh-CN"/>
        </w:rPr>
        <w:sectPr>
          <w:footerReference r:id="rId4" w:type="first"/>
          <w:footerReference r:id="rId3" w:type="default"/>
          <w:pgSz w:w="11906" w:h="16838"/>
          <w:pgMar w:top="1701" w:right="1531" w:bottom="1134" w:left="1531" w:header="851" w:footer="992" w:gutter="0"/>
          <w:pgNumType w:fmt="numberInDash"/>
          <w:cols w:space="0" w:num="1"/>
          <w:titlePg/>
          <w:rtlGutter w:val="0"/>
          <w:docGrid w:type="linesAndChars" w:linePitch="437" w:charSpace="-842"/>
        </w:sectPr>
      </w:pPr>
    </w:p>
    <w:tbl>
      <w:tblPr>
        <w:tblStyle w:val="7"/>
        <w:tblW w:w="14277" w:type="dxa"/>
        <w:tblInd w:w="95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46"/>
        <w:gridCol w:w="269"/>
        <w:gridCol w:w="716"/>
        <w:gridCol w:w="2"/>
        <w:gridCol w:w="984"/>
        <w:gridCol w:w="3"/>
        <w:gridCol w:w="983"/>
        <w:gridCol w:w="4"/>
        <w:gridCol w:w="983"/>
        <w:gridCol w:w="4"/>
        <w:gridCol w:w="983"/>
        <w:gridCol w:w="4"/>
        <w:gridCol w:w="982"/>
        <w:gridCol w:w="5"/>
        <w:gridCol w:w="981"/>
        <w:gridCol w:w="6"/>
        <w:gridCol w:w="980"/>
        <w:gridCol w:w="7"/>
        <w:gridCol w:w="979"/>
        <w:gridCol w:w="8"/>
        <w:gridCol w:w="979"/>
        <w:gridCol w:w="8"/>
        <w:gridCol w:w="979"/>
        <w:gridCol w:w="8"/>
        <w:gridCol w:w="979"/>
        <w:gridCol w:w="8"/>
        <w:gridCol w:w="980"/>
        <w:gridCol w:w="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trHeight w:val="480" w:hRule="atLeast"/>
        </w:trPr>
        <w:tc>
          <w:tcPr>
            <w:tcW w:w="17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黑体" w:hAnsi="宋体" w:eastAsia="黑体" w:cs="黑体"/>
                <w:i w:val="0"/>
                <w:iCs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附件</w:t>
            </w:r>
          </w:p>
        </w:tc>
        <w:tc>
          <w:tcPr>
            <w:tcW w:w="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b/>
                <w:bCs/>
                <w:i w:val="0"/>
                <w:iCs w:val="0"/>
                <w:color w:val="000000"/>
                <w:sz w:val="36"/>
                <w:szCs w:val="36"/>
                <w:u w:val="none"/>
              </w:rPr>
            </w:pPr>
          </w:p>
        </w:tc>
        <w:tc>
          <w:tcPr>
            <w:tcW w:w="9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b/>
                <w:bCs/>
                <w:i w:val="0"/>
                <w:iCs w:val="0"/>
                <w:color w:val="000000"/>
                <w:sz w:val="36"/>
                <w:szCs w:val="36"/>
                <w:u w:val="none"/>
              </w:rPr>
            </w:pPr>
          </w:p>
        </w:tc>
        <w:tc>
          <w:tcPr>
            <w:tcW w:w="9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b/>
                <w:bCs/>
                <w:i w:val="0"/>
                <w:iCs w:val="0"/>
                <w:color w:val="000000"/>
                <w:sz w:val="36"/>
                <w:szCs w:val="36"/>
                <w:u w:val="none"/>
              </w:rPr>
            </w:pPr>
          </w:p>
        </w:tc>
        <w:tc>
          <w:tcPr>
            <w:tcW w:w="98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b/>
                <w:bCs/>
                <w:i w:val="0"/>
                <w:iCs w:val="0"/>
                <w:color w:val="000000"/>
                <w:sz w:val="36"/>
                <w:szCs w:val="36"/>
                <w:u w:val="none"/>
              </w:rPr>
            </w:pPr>
          </w:p>
        </w:tc>
        <w:tc>
          <w:tcPr>
            <w:tcW w:w="98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b/>
                <w:bCs/>
                <w:i w:val="0"/>
                <w:iCs w:val="0"/>
                <w:color w:val="000000"/>
                <w:sz w:val="36"/>
                <w:szCs w:val="36"/>
                <w:u w:val="none"/>
              </w:rPr>
            </w:pPr>
          </w:p>
        </w:tc>
        <w:tc>
          <w:tcPr>
            <w:tcW w:w="9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b/>
                <w:bCs/>
                <w:i w:val="0"/>
                <w:iCs w:val="0"/>
                <w:color w:val="000000"/>
                <w:sz w:val="36"/>
                <w:szCs w:val="36"/>
                <w:u w:val="none"/>
              </w:rPr>
            </w:pPr>
          </w:p>
        </w:tc>
        <w:tc>
          <w:tcPr>
            <w:tcW w:w="9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b/>
                <w:bCs/>
                <w:i w:val="0"/>
                <w:iCs w:val="0"/>
                <w:color w:val="000000"/>
                <w:sz w:val="36"/>
                <w:szCs w:val="36"/>
                <w:u w:val="none"/>
              </w:rPr>
            </w:pPr>
          </w:p>
        </w:tc>
        <w:tc>
          <w:tcPr>
            <w:tcW w:w="9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b/>
                <w:bCs/>
                <w:i w:val="0"/>
                <w:iCs w:val="0"/>
                <w:color w:val="000000"/>
                <w:sz w:val="36"/>
                <w:szCs w:val="36"/>
                <w:u w:val="none"/>
              </w:rPr>
            </w:pPr>
          </w:p>
        </w:tc>
        <w:tc>
          <w:tcPr>
            <w:tcW w:w="9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b/>
                <w:bCs/>
                <w:i w:val="0"/>
                <w:iCs w:val="0"/>
                <w:color w:val="000000"/>
                <w:sz w:val="36"/>
                <w:szCs w:val="36"/>
                <w:u w:val="none"/>
              </w:rPr>
            </w:pPr>
          </w:p>
        </w:tc>
        <w:tc>
          <w:tcPr>
            <w:tcW w:w="98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b/>
                <w:bCs/>
                <w:i w:val="0"/>
                <w:iCs w:val="0"/>
                <w:color w:val="000000"/>
                <w:sz w:val="36"/>
                <w:szCs w:val="36"/>
                <w:u w:val="none"/>
              </w:rPr>
            </w:pPr>
          </w:p>
        </w:tc>
        <w:tc>
          <w:tcPr>
            <w:tcW w:w="98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b/>
                <w:bCs/>
                <w:i w:val="0"/>
                <w:iCs w:val="0"/>
                <w:color w:val="000000"/>
                <w:sz w:val="36"/>
                <w:szCs w:val="36"/>
                <w:u w:val="none"/>
              </w:rPr>
            </w:pPr>
          </w:p>
        </w:tc>
        <w:tc>
          <w:tcPr>
            <w:tcW w:w="98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b/>
                <w:bCs/>
                <w:i w:val="0"/>
                <w:iCs w:val="0"/>
                <w:color w:val="000000"/>
                <w:sz w:val="36"/>
                <w:szCs w:val="36"/>
                <w:u w:val="none"/>
              </w:rPr>
            </w:pPr>
          </w:p>
        </w:tc>
        <w:tc>
          <w:tcPr>
            <w:tcW w:w="98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b/>
                <w:bCs/>
                <w:i w:val="0"/>
                <w:iCs w:val="0"/>
                <w:color w:val="000000"/>
                <w:sz w:val="36"/>
                <w:szCs w:val="36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trHeight w:val="465" w:hRule="atLeast"/>
        </w:trPr>
        <w:tc>
          <w:tcPr>
            <w:tcW w:w="14270" w:type="dxa"/>
            <w:gridSpan w:val="2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简体" w:hAnsi="方正小标宋简体" w:eastAsia="方正小标宋简体" w:cs="方正小标宋简体"/>
                <w:b/>
                <w:bCs/>
                <w:i w:val="0"/>
                <w:iCs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/>
                <w:bCs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滨海新区4月份控烟监督执法情况汇总表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trHeight w:val="329" w:hRule="atLeast"/>
        </w:trPr>
        <w:tc>
          <w:tcPr>
            <w:tcW w:w="1715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</w:t>
            </w:r>
          </w:p>
        </w:tc>
        <w:tc>
          <w:tcPr>
            <w:tcW w:w="2688" w:type="dxa"/>
            <w:gridSpan w:val="5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投诉</w:t>
            </w:r>
          </w:p>
        </w:tc>
        <w:tc>
          <w:tcPr>
            <w:tcW w:w="4932" w:type="dxa"/>
            <w:gridSpan w:val="10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执法</w:t>
            </w:r>
          </w:p>
        </w:tc>
        <w:tc>
          <w:tcPr>
            <w:tcW w:w="4935" w:type="dxa"/>
            <w:gridSpan w:val="10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处罚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trHeight w:val="329" w:hRule="atLeast"/>
        </w:trPr>
        <w:tc>
          <w:tcPr>
            <w:tcW w:w="1715" w:type="dxa"/>
            <w:gridSpan w:val="2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16" w:type="dxa"/>
            <w:vMerge w:val="restart"/>
            <w:tcBorders>
              <w:top w:val="nil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接到投诉举报次数</w:t>
            </w:r>
          </w:p>
        </w:tc>
        <w:tc>
          <w:tcPr>
            <w:tcW w:w="986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答复投诉举报次数</w:t>
            </w:r>
          </w:p>
        </w:tc>
        <w:tc>
          <w:tcPr>
            <w:tcW w:w="986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现场处理投诉次数</w:t>
            </w:r>
          </w:p>
        </w:tc>
        <w:tc>
          <w:tcPr>
            <w:tcW w:w="987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控烟执法次数</w:t>
            </w:r>
          </w:p>
        </w:tc>
        <w:tc>
          <w:tcPr>
            <w:tcW w:w="987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出动执法人员人次数</w:t>
            </w:r>
          </w:p>
        </w:tc>
        <w:tc>
          <w:tcPr>
            <w:tcW w:w="986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成功劝阻人次数</w:t>
            </w:r>
          </w:p>
        </w:tc>
        <w:tc>
          <w:tcPr>
            <w:tcW w:w="1972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问题整改</w:t>
            </w:r>
          </w:p>
        </w:tc>
        <w:tc>
          <w:tcPr>
            <w:tcW w:w="986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</w:t>
            </w: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个数</w:t>
            </w:r>
          </w:p>
        </w:tc>
        <w:tc>
          <w:tcPr>
            <w:tcW w:w="987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法定代表人(负责人)个数</w:t>
            </w:r>
          </w:p>
        </w:tc>
        <w:tc>
          <w:tcPr>
            <w:tcW w:w="987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个人</w:t>
            </w: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个数</w:t>
            </w:r>
          </w:p>
        </w:tc>
        <w:tc>
          <w:tcPr>
            <w:tcW w:w="987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案件总数</w:t>
            </w:r>
          </w:p>
        </w:tc>
        <w:tc>
          <w:tcPr>
            <w:tcW w:w="988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罚款</w:t>
            </w: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总额</w:t>
            </w: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trHeight w:val="1067" w:hRule="atLeast"/>
        </w:trPr>
        <w:tc>
          <w:tcPr>
            <w:tcW w:w="1715" w:type="dxa"/>
            <w:gridSpan w:val="2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16" w:type="dxa"/>
            <w:vMerge w:val="continue"/>
            <w:tcBorders>
              <w:top w:val="nil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6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6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6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6" w:type="dxa"/>
            <w:gridSpan w:val="2"/>
            <w:tcBorders>
              <w:top w:val="nil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发放整改通知文书数</w:t>
            </w:r>
          </w:p>
        </w:tc>
        <w:tc>
          <w:tcPr>
            <w:tcW w:w="986" w:type="dxa"/>
            <w:gridSpan w:val="2"/>
            <w:tcBorders>
              <w:top w:val="nil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整改完毕数</w:t>
            </w:r>
          </w:p>
        </w:tc>
        <w:tc>
          <w:tcPr>
            <w:tcW w:w="986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8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trHeight w:val="360" w:hRule="atLeast"/>
        </w:trPr>
        <w:tc>
          <w:tcPr>
            <w:tcW w:w="171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民政局</w:t>
            </w:r>
          </w:p>
        </w:tc>
        <w:tc>
          <w:tcPr>
            <w:tcW w:w="716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</w:t>
            </w:r>
          </w:p>
        </w:tc>
        <w:tc>
          <w:tcPr>
            <w:tcW w:w="987" w:type="dxa"/>
            <w:gridSpan w:val="2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46</w:t>
            </w:r>
          </w:p>
        </w:tc>
        <w:tc>
          <w:tcPr>
            <w:tcW w:w="986" w:type="dxa"/>
            <w:gridSpan w:val="2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8" w:type="dxa"/>
            <w:gridSpan w:val="2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trHeight w:val="360" w:hRule="atLeast"/>
        </w:trPr>
        <w:tc>
          <w:tcPr>
            <w:tcW w:w="1715" w:type="dxa"/>
            <w:gridSpan w:val="2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教体局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9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trHeight w:val="90" w:hRule="atLeast"/>
        </w:trPr>
        <w:tc>
          <w:tcPr>
            <w:tcW w:w="1715" w:type="dxa"/>
            <w:gridSpan w:val="2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公安局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39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trHeight w:val="360" w:hRule="atLeast"/>
        </w:trPr>
        <w:tc>
          <w:tcPr>
            <w:tcW w:w="1715" w:type="dxa"/>
            <w:gridSpan w:val="2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人社局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trHeight w:val="360" w:hRule="atLeast"/>
        </w:trPr>
        <w:tc>
          <w:tcPr>
            <w:tcW w:w="1715" w:type="dxa"/>
            <w:gridSpan w:val="2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文化和旅游局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82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164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trHeight w:val="360" w:hRule="atLeast"/>
        </w:trPr>
        <w:tc>
          <w:tcPr>
            <w:tcW w:w="1715" w:type="dxa"/>
            <w:gridSpan w:val="2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交通运输局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88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trHeight w:val="360" w:hRule="atLeast"/>
        </w:trPr>
        <w:tc>
          <w:tcPr>
            <w:tcW w:w="1715" w:type="dxa"/>
            <w:gridSpan w:val="2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卫生健康委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92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trHeight w:val="360" w:hRule="atLeast"/>
        </w:trPr>
        <w:tc>
          <w:tcPr>
            <w:tcW w:w="1715" w:type="dxa"/>
            <w:gridSpan w:val="2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保税区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trHeight w:val="360" w:hRule="atLeast"/>
        </w:trPr>
        <w:tc>
          <w:tcPr>
            <w:tcW w:w="1715" w:type="dxa"/>
            <w:gridSpan w:val="2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东疆综保区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41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</w:trPr>
        <w:tc>
          <w:tcPr>
            <w:tcW w:w="1446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</w:t>
            </w:r>
          </w:p>
        </w:tc>
        <w:tc>
          <w:tcPr>
            <w:tcW w:w="2961" w:type="dxa"/>
            <w:gridSpan w:val="7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投诉</w:t>
            </w:r>
          </w:p>
        </w:tc>
        <w:tc>
          <w:tcPr>
            <w:tcW w:w="4935" w:type="dxa"/>
            <w:gridSpan w:val="10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执法</w:t>
            </w:r>
          </w:p>
        </w:tc>
        <w:tc>
          <w:tcPr>
            <w:tcW w:w="4935" w:type="dxa"/>
            <w:gridSpan w:val="10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处罚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</w:trPr>
        <w:tc>
          <w:tcPr>
            <w:tcW w:w="1446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3"/>
            <w:vMerge w:val="restart"/>
            <w:tcBorders>
              <w:top w:val="nil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接到投诉举报次数</w:t>
            </w:r>
          </w:p>
        </w:tc>
        <w:tc>
          <w:tcPr>
            <w:tcW w:w="987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答复投诉举报次数</w:t>
            </w:r>
          </w:p>
        </w:tc>
        <w:tc>
          <w:tcPr>
            <w:tcW w:w="987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现场处理投诉次数</w:t>
            </w:r>
          </w:p>
        </w:tc>
        <w:tc>
          <w:tcPr>
            <w:tcW w:w="987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控烟执法次数</w:t>
            </w:r>
          </w:p>
        </w:tc>
        <w:tc>
          <w:tcPr>
            <w:tcW w:w="987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出动执法人员人次数</w:t>
            </w:r>
          </w:p>
        </w:tc>
        <w:tc>
          <w:tcPr>
            <w:tcW w:w="987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成功劝阻人次数</w:t>
            </w:r>
          </w:p>
        </w:tc>
        <w:tc>
          <w:tcPr>
            <w:tcW w:w="1974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问题整改</w:t>
            </w:r>
          </w:p>
        </w:tc>
        <w:tc>
          <w:tcPr>
            <w:tcW w:w="987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</w:t>
            </w: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个数</w:t>
            </w:r>
          </w:p>
        </w:tc>
        <w:tc>
          <w:tcPr>
            <w:tcW w:w="987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法定代表人(负责人)个数</w:t>
            </w:r>
          </w:p>
        </w:tc>
        <w:tc>
          <w:tcPr>
            <w:tcW w:w="987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个人</w:t>
            </w: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个数</w:t>
            </w:r>
          </w:p>
        </w:tc>
        <w:tc>
          <w:tcPr>
            <w:tcW w:w="987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案件总数</w:t>
            </w:r>
          </w:p>
        </w:tc>
        <w:tc>
          <w:tcPr>
            <w:tcW w:w="987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罚款</w:t>
            </w: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总额</w:t>
            </w: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446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3"/>
            <w:vMerge w:val="continue"/>
            <w:tcBorders>
              <w:top w:val="nil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2"/>
            <w:tcBorders>
              <w:top w:val="nil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发放整改通知文书数</w:t>
            </w:r>
          </w:p>
        </w:tc>
        <w:tc>
          <w:tcPr>
            <w:tcW w:w="987" w:type="dxa"/>
            <w:gridSpan w:val="2"/>
            <w:tcBorders>
              <w:top w:val="nil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整改完毕数</w:t>
            </w:r>
          </w:p>
        </w:tc>
        <w:tc>
          <w:tcPr>
            <w:tcW w:w="987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高新区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107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165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生态城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49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273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经开区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泰达街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39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159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塘沽街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81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新港街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52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新村街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75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新河街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37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98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新北街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大沽街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92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184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胡家园街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杭州道街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北塘街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</w:trPr>
        <w:tc>
          <w:tcPr>
            <w:tcW w:w="1446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</w:t>
            </w:r>
          </w:p>
        </w:tc>
        <w:tc>
          <w:tcPr>
            <w:tcW w:w="2961" w:type="dxa"/>
            <w:gridSpan w:val="7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投诉</w:t>
            </w:r>
          </w:p>
        </w:tc>
        <w:tc>
          <w:tcPr>
            <w:tcW w:w="4935" w:type="dxa"/>
            <w:gridSpan w:val="10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执法</w:t>
            </w:r>
          </w:p>
        </w:tc>
        <w:tc>
          <w:tcPr>
            <w:tcW w:w="4935" w:type="dxa"/>
            <w:gridSpan w:val="10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处罚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</w:trPr>
        <w:tc>
          <w:tcPr>
            <w:tcW w:w="1446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3"/>
            <w:vMerge w:val="restart"/>
            <w:tcBorders>
              <w:top w:val="nil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接到投诉举报次数</w:t>
            </w:r>
          </w:p>
        </w:tc>
        <w:tc>
          <w:tcPr>
            <w:tcW w:w="987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答复投诉举报次数</w:t>
            </w:r>
          </w:p>
        </w:tc>
        <w:tc>
          <w:tcPr>
            <w:tcW w:w="987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现场处理投诉次数</w:t>
            </w:r>
          </w:p>
        </w:tc>
        <w:tc>
          <w:tcPr>
            <w:tcW w:w="987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控烟执法次数</w:t>
            </w:r>
          </w:p>
        </w:tc>
        <w:tc>
          <w:tcPr>
            <w:tcW w:w="987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出动执法人员人次数</w:t>
            </w:r>
          </w:p>
        </w:tc>
        <w:tc>
          <w:tcPr>
            <w:tcW w:w="987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成功劝阻人次数</w:t>
            </w:r>
          </w:p>
        </w:tc>
        <w:tc>
          <w:tcPr>
            <w:tcW w:w="1974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问题整改</w:t>
            </w:r>
          </w:p>
        </w:tc>
        <w:tc>
          <w:tcPr>
            <w:tcW w:w="987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</w:t>
            </w: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个数</w:t>
            </w:r>
          </w:p>
        </w:tc>
        <w:tc>
          <w:tcPr>
            <w:tcW w:w="987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法定代表人(负责人)个数</w:t>
            </w:r>
          </w:p>
        </w:tc>
        <w:tc>
          <w:tcPr>
            <w:tcW w:w="987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个人</w:t>
            </w: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个数</w:t>
            </w:r>
          </w:p>
        </w:tc>
        <w:tc>
          <w:tcPr>
            <w:tcW w:w="987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案件总数</w:t>
            </w:r>
          </w:p>
        </w:tc>
        <w:tc>
          <w:tcPr>
            <w:tcW w:w="987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罚款</w:t>
            </w: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总额</w:t>
            </w: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446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3"/>
            <w:vMerge w:val="continue"/>
            <w:tcBorders>
              <w:top w:val="nil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2"/>
            <w:tcBorders>
              <w:top w:val="nil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发放整改通知文书数</w:t>
            </w:r>
          </w:p>
        </w:tc>
        <w:tc>
          <w:tcPr>
            <w:tcW w:w="987" w:type="dxa"/>
            <w:gridSpan w:val="2"/>
            <w:tcBorders>
              <w:top w:val="nil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整改完毕数</w:t>
            </w:r>
          </w:p>
        </w:tc>
        <w:tc>
          <w:tcPr>
            <w:tcW w:w="987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大港街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古林街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54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135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海滨街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42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汉沽街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38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58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寨上街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55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茶淀街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杨家泊镇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新城镇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太平镇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小王庄镇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中塘镇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72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54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合计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1036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2405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227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</w:tr>
    </w:tbl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8" w:lineRule="exact"/>
        <w:ind w:right="0" w:rightChars="0"/>
        <w:jc w:val="left"/>
        <w:textAlignment w:val="auto"/>
        <w:rPr>
          <w:rFonts w:hint="eastAsia" w:ascii="仿宋_GB2312" w:hAnsi="仿宋_GB2312" w:eastAsia="仿宋_GB2312" w:cs="仿宋_GB2312"/>
          <w:b/>
          <w:bCs/>
          <w:kern w:val="2"/>
          <w:sz w:val="32"/>
          <w:szCs w:val="32"/>
          <w:lang w:val="en-US" w:eastAsia="zh-CN" w:bidi="ar"/>
        </w:rPr>
      </w:pPr>
    </w:p>
    <w:sectPr>
      <w:footerReference r:id="rId6" w:type="first"/>
      <w:footerReference r:id="rId5" w:type="default"/>
      <w:pgSz w:w="16838" w:h="11906" w:orient="landscape"/>
      <w:pgMar w:top="1531" w:right="1701" w:bottom="1531" w:left="1134" w:header="851" w:footer="992" w:gutter="0"/>
      <w:pgNumType w:fmt="numberInDash" w:start="4"/>
      <w:cols w:space="0" w:num="1"/>
      <w:titlePg/>
      <w:rtlGutter w:val="0"/>
      <w:docGrid w:type="linesAndChars" w:linePitch="437" w:charSpace="-84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keepNext w:val="0"/>
                            <w:keepLines w:val="0"/>
                            <w:pageBreakBefore w:val="0"/>
                            <w:widowControl w:val="0"/>
                            <w:kinsoku/>
                            <w:wordWrap/>
                            <w:overflowPunct/>
                            <w:topLinePunct w:val="0"/>
                            <w:bidi w:val="0"/>
                            <w:adjustRightInd/>
                            <w:snapToGrid w:val="0"/>
                            <w:ind w:left="320" w:leftChars="100" w:right="320" w:rightChars="100"/>
                            <w:textAlignment w:val="auto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2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SCRrQ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kgka0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keepNext w:val="0"/>
                      <w:keepLines w:val="0"/>
                      <w:pageBreakBefore w:val="0"/>
                      <w:widowControl w:val="0"/>
                      <w:kinsoku/>
                      <w:wordWrap/>
                      <w:overflowPunct/>
                      <w:topLinePunct w:val="0"/>
                      <w:bidi w:val="0"/>
                      <w:adjustRightInd/>
                      <w:snapToGrid w:val="0"/>
                      <w:ind w:left="320" w:leftChars="100" w:right="320" w:rightChars="100"/>
                      <w:textAlignment w:val="auto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2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tabs>
        <w:tab w:val="left" w:pos="5267"/>
        <w:tab w:val="clear" w:pos="4153"/>
      </w:tabs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uow4Kz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</w:pP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3" name="文本框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keepNext w:val="0"/>
                            <w:keepLines w:val="0"/>
                            <w:pageBreakBefore w:val="0"/>
                            <w:widowControl w:val="0"/>
                            <w:kinsoku/>
                            <w:wordWrap/>
                            <w:overflowPunct/>
                            <w:topLinePunct w:val="0"/>
                            <w:bidi w:val="0"/>
                            <w:adjustRightInd/>
                            <w:snapToGrid w:val="0"/>
                            <w:ind w:left="320" w:leftChars="100" w:right="320" w:rightChars="100"/>
                            <w:textAlignment w:val="auto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- 5 -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336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LlZmfjICAABj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keepNext w:val="0"/>
                      <w:keepLines w:val="0"/>
                      <w:pageBreakBefore w:val="0"/>
                      <w:widowControl w:val="0"/>
                      <w:kinsoku/>
                      <w:wordWrap/>
                      <w:overflowPunct/>
                      <w:topLinePunct w:val="0"/>
                      <w:bidi w:val="0"/>
                      <w:adjustRightInd/>
                      <w:snapToGrid w:val="0"/>
                      <w:ind w:left="320" w:leftChars="100" w:right="320" w:rightChars="100"/>
                      <w:textAlignment w:val="auto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- 5 -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tabs>
        <w:tab w:val="left" w:pos="5267"/>
        <w:tab w:val="clear" w:pos="4153"/>
      </w:tabs>
    </w:pPr>
    <w:r>
      <w:rPr>
        <w:sz w:val="18"/>
      </w:rPr>
      <mc:AlternateContent>
        <mc:Choice Requires="wps">
          <w:drawing>
            <wp:anchor distT="0" distB="0" distL="114300" distR="114300" simplePos="0" relativeHeight="25166438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4" name="文本框 1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- 4 -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438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IwUTnTICAABj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- 4 -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sz w:val="18"/>
      </w:rPr>
      <mc:AlternateContent>
        <mc:Choice Requires="wps">
          <w:drawing>
            <wp:anchor distT="0" distB="0" distL="114300" distR="114300" simplePos="0" relativeHeight="251662336" behindDoc="0" locked="1" layoutInCell="1" allowOverlap="1">
              <wp:simplePos x="0" y="0"/>
              <wp:positionH relativeFrom="page">
                <wp:posOffset>720090</wp:posOffset>
              </wp:positionH>
              <wp:positionV relativeFrom="page">
                <wp:posOffset>9972040</wp:posOffset>
              </wp:positionV>
              <wp:extent cx="6120130" cy="0"/>
              <wp:effectExtent l="0" t="25400" r="5080" b="40640"/>
              <wp:wrapNone/>
              <wp:docPr id="11" name="直接连接符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120130" cy="0"/>
                      </a:xfrm>
                      <a:prstGeom prst="line">
                        <a:avLst/>
                      </a:prstGeom>
                      <a:ln w="50800" cmpd="thinThick">
                        <a:solidFill>
                          <a:srgbClr val="FF0000"/>
                        </a:solidFill>
                      </a:ln>
                    </wps:spPr>
                    <wps:style>
                      <a:lnRef idx="2">
                        <a:schemeClr val="accent1"/>
                      </a:lnRef>
                      <a:fillRef idx="0">
                        <a:srgbClr val="FFFFFF"/>
                      </a:fillRef>
                      <a:effectRef idx="0">
                        <a:srgbClr val="FFFFFF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56.7pt;margin-top:785.2pt;height:0pt;width:481.9pt;mso-position-horizontal-relative:page;mso-position-vertical-relative:page;z-index:251662336;mso-width-relative:page;mso-height-relative:page;" filled="f" stroked="t" coordsize="21600,21600" o:gfxdata="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nNZq+NoAAAAOAQAADwAAAAAAAAABACAAAAAiAAAAZHJzL2Rvd25yZXYueG1sUEsBAhQAFAAAAAgA&#10;h07iQMU0gzfqAQAAugMAAA4AAAAAAAAAAQAgAAAAKQEAAGRycy9lMm9Eb2MueG1sUEsFBgAAAAAG&#10;AAYAWQEAAIUFAAAAAA==&#10;">
              <v:fill on="f" focussize="0,0"/>
              <v:stroke weight="4pt" color="#FF0000 [3204]" linestyle="thinThick" miterlimit="8" joinstyle="miter"/>
              <v:imagedata o:title=""/>
              <o:lock v:ext="edit" aspectratio="f"/>
              <w10:anchorlock/>
            </v:line>
          </w:pict>
        </mc:Fallback>
      </mc:AlternateContent>
    </w:r>
    <w:r>
      <w:rPr>
        <w:sz w:val="18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2" name="文本框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131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z+8ZExAgAAYw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s/vGRMQIAAGM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</w:pP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HorizontalSpacing w:val="158"/>
  <w:drawingGridVerticalSpacing w:val="219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RkZTc3MGFmNDFjMTZiZTEzNzczM2ZkZmYyM2YzMTUifQ=="/>
  </w:docVars>
  <w:rsids>
    <w:rsidRoot w:val="421A1687"/>
    <w:rsid w:val="01822573"/>
    <w:rsid w:val="02C61F8F"/>
    <w:rsid w:val="04D1736D"/>
    <w:rsid w:val="06E67100"/>
    <w:rsid w:val="09D13466"/>
    <w:rsid w:val="0E645508"/>
    <w:rsid w:val="100D7158"/>
    <w:rsid w:val="13A75028"/>
    <w:rsid w:val="154C6CC8"/>
    <w:rsid w:val="16CE4F2C"/>
    <w:rsid w:val="1790750F"/>
    <w:rsid w:val="19AD1CFF"/>
    <w:rsid w:val="1A57481F"/>
    <w:rsid w:val="1A8B25B5"/>
    <w:rsid w:val="1D462FF9"/>
    <w:rsid w:val="248B0E8F"/>
    <w:rsid w:val="26A15464"/>
    <w:rsid w:val="278D2B8D"/>
    <w:rsid w:val="27F73D44"/>
    <w:rsid w:val="294777BA"/>
    <w:rsid w:val="2D8B379D"/>
    <w:rsid w:val="2E6647D2"/>
    <w:rsid w:val="347B08ED"/>
    <w:rsid w:val="3495278A"/>
    <w:rsid w:val="36883480"/>
    <w:rsid w:val="3755187F"/>
    <w:rsid w:val="379242A6"/>
    <w:rsid w:val="3AF6765C"/>
    <w:rsid w:val="3BA5720C"/>
    <w:rsid w:val="3EA733F9"/>
    <w:rsid w:val="421A1687"/>
    <w:rsid w:val="43C24475"/>
    <w:rsid w:val="44066DFE"/>
    <w:rsid w:val="447102DE"/>
    <w:rsid w:val="44D3620E"/>
    <w:rsid w:val="4ADF590D"/>
    <w:rsid w:val="4B2477C4"/>
    <w:rsid w:val="4DB43081"/>
    <w:rsid w:val="4E661EA1"/>
    <w:rsid w:val="52493F12"/>
    <w:rsid w:val="54BA1F45"/>
    <w:rsid w:val="55EE4C65"/>
    <w:rsid w:val="56624676"/>
    <w:rsid w:val="593C489A"/>
    <w:rsid w:val="5A2F3A8F"/>
    <w:rsid w:val="5A517B3B"/>
    <w:rsid w:val="5DFDE0BB"/>
    <w:rsid w:val="600F5761"/>
    <w:rsid w:val="61DC62AA"/>
    <w:rsid w:val="67094D7D"/>
    <w:rsid w:val="67FC0614"/>
    <w:rsid w:val="6B553715"/>
    <w:rsid w:val="6CFF4F79"/>
    <w:rsid w:val="732B0E40"/>
    <w:rsid w:val="76C43A85"/>
    <w:rsid w:val="77316C41"/>
    <w:rsid w:val="774E15A1"/>
    <w:rsid w:val="78252301"/>
    <w:rsid w:val="7C9D2BE0"/>
    <w:rsid w:val="7CCC1F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eastAsia="仿宋_GB2312" w:asciiTheme="minorAscii" w:hAnsiTheme="minorAscii" w:cstheme="minorBidi"/>
      <w:kern w:val="2"/>
      <w:sz w:val="32"/>
      <w:szCs w:val="32"/>
      <w:lang w:val="en-US" w:eastAsia="zh-CN" w:bidi="ar-SA"/>
    </w:rPr>
  </w:style>
  <w:style w:type="paragraph" w:styleId="2">
    <w:name w:val="heading 3"/>
    <w:basedOn w:val="1"/>
    <w:next w:val="1"/>
    <w:qFormat/>
    <w:uiPriority w:val="0"/>
    <w:pPr>
      <w:keepNext/>
      <w:keepLines/>
      <w:spacing w:line="360" w:lineRule="auto"/>
      <w:ind w:firstLine="420" w:firstLineChars="200"/>
      <w:outlineLvl w:val="2"/>
    </w:pPr>
    <w:rPr>
      <w:bCs/>
      <w:sz w:val="28"/>
      <w:szCs w:val="32"/>
    </w:rPr>
  </w:style>
  <w:style w:type="character" w:default="1" w:styleId="9">
    <w:name w:val="Default Paragraph Font"/>
    <w:autoRedefine/>
    <w:semiHidden/>
    <w:qFormat/>
    <w:uiPriority w:val="0"/>
  </w:style>
  <w:style w:type="table" w:default="1" w:styleId="7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autoRedefine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4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6">
    <w:name w:val="Normal (Web)"/>
    <w:basedOn w:val="1"/>
    <w:autoRedefine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8">
    <w:name w:val="Table Grid"/>
    <w:basedOn w:val="7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0">
    <w:name w:val="page number"/>
    <w:basedOn w:val="9"/>
    <w:autoRedefine/>
    <w:qFormat/>
    <w:uiPriority w:val="0"/>
  </w:style>
  <w:style w:type="character" w:styleId="11">
    <w:name w:val="Hyperlink"/>
    <w:autoRedefine/>
    <w:qFormat/>
    <w:uiPriority w:val="0"/>
    <w:rPr>
      <w:color w:val="0000FF"/>
      <w:u w:val="single"/>
    </w:rPr>
  </w:style>
  <w:style w:type="character" w:customStyle="1" w:styleId="12">
    <w:name w:val="15"/>
    <w:basedOn w:val="9"/>
    <w:autoRedefine/>
    <w:qFormat/>
    <w:uiPriority w:val="0"/>
    <w:rPr>
      <w:rFonts w:hint="default" w:ascii="Calibri" w:hAnsi="Calibri"/>
      <w:kern w:val="2"/>
      <w:sz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4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66</Words>
  <Characters>189</Characters>
  <Lines>0</Lines>
  <Paragraphs>0</Paragraphs>
  <TotalTime>6</TotalTime>
  <ScaleCrop>false</ScaleCrop>
  <LinksUpToDate>false</LinksUpToDate>
  <CharactersWithSpaces>189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2024-04-16T15:01:00Z</dcterms:created>
  <dc:creator>Administrator</dc:creator>
  <cp:lastModifiedBy>Administrator</cp:lastModifiedBy>
  <cp:lastPrinted>2024-04-16T16:04:00Z</cp:lastPrinted>
  <dcterms:modified xsi:type="dcterms:W3CDTF">2024-05-15T00:59:05Z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303AFE6449F4459A85D9530D38F140FE_13</vt:lpwstr>
  </property>
</Properties>
</file>