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bCs/>
          <w:sz w:val="44"/>
          <w:szCs w:val="44"/>
          <w:lang w:eastAsia="zh-CN"/>
        </w:rPr>
      </w:pPr>
      <w:r>
        <w:rPr>
          <w:rFonts w:hint="eastAsia" w:ascii="Times New Roman" w:hAnsi="Times New Roman" w:eastAsia="方正小标宋简体" w:cs="Times New Roman"/>
          <w:bCs/>
          <w:sz w:val="44"/>
          <w:szCs w:val="44"/>
          <w:highlight w:val="none"/>
          <w:lang w:eastAsia="zh-CN"/>
        </w:rPr>
        <w:t>区卫生健康委</w:t>
      </w:r>
      <w:r>
        <w:rPr>
          <w:rFonts w:hint="eastAsia" w:ascii="Times New Roman" w:hAnsi="Times New Roman" w:eastAsia="方正小标宋简体" w:cs="Times New Roman"/>
          <w:bCs/>
          <w:sz w:val="44"/>
          <w:szCs w:val="44"/>
          <w:highlight w:val="none"/>
          <w:lang w:val="en-US" w:eastAsia="zh-CN"/>
        </w:rPr>
        <w:t xml:space="preserve"> 区教体局</w:t>
      </w:r>
      <w:r>
        <w:rPr>
          <w:rFonts w:hint="default" w:ascii="Times New Roman" w:hAnsi="Times New Roman" w:eastAsia="方正小标宋简体" w:cs="Times New Roman"/>
          <w:bCs/>
          <w:sz w:val="44"/>
          <w:szCs w:val="44"/>
          <w:highlight w:val="none"/>
          <w:lang w:eastAsia="zh-CN"/>
        </w:rPr>
        <w:t>关于印发</w:t>
      </w:r>
      <w:r>
        <w:rPr>
          <w:rFonts w:hint="eastAsia" w:ascii="Times New Roman" w:hAnsi="Times New Roman" w:eastAsia="方正小标宋简体" w:cs="Times New Roman"/>
          <w:bCs/>
          <w:sz w:val="44"/>
          <w:szCs w:val="44"/>
          <w:highlight w:val="none"/>
          <w:lang w:eastAsia="zh-CN"/>
        </w:rPr>
        <w:t>《滨海新区</w:t>
      </w:r>
      <w:r>
        <w:rPr>
          <w:rFonts w:hint="default" w:ascii="Times New Roman" w:hAnsi="Times New Roman" w:eastAsia="方正小标宋简体" w:cs="Times New Roman"/>
          <w:bCs/>
          <w:sz w:val="44"/>
          <w:szCs w:val="44"/>
          <w:highlight w:val="none"/>
          <w:lang w:eastAsia="zh-CN"/>
        </w:rPr>
        <w:t>202</w:t>
      </w:r>
      <w:r>
        <w:rPr>
          <w:rFonts w:hint="eastAsia" w:ascii="Times New Roman" w:hAnsi="Times New Roman" w:eastAsia="方正小标宋简体" w:cs="Times New Roman"/>
          <w:bCs/>
          <w:sz w:val="44"/>
          <w:szCs w:val="44"/>
          <w:highlight w:val="none"/>
          <w:lang w:val="en-US" w:eastAsia="zh-CN"/>
        </w:rPr>
        <w:t>3</w:t>
      </w:r>
      <w:r>
        <w:rPr>
          <w:rFonts w:hint="default" w:ascii="Times New Roman" w:hAnsi="Times New Roman" w:eastAsia="方正小标宋简体" w:cs="Times New Roman"/>
          <w:bCs/>
          <w:sz w:val="44"/>
          <w:szCs w:val="44"/>
          <w:highlight w:val="none"/>
          <w:lang w:eastAsia="zh-CN"/>
        </w:rPr>
        <w:t>年</w:t>
      </w:r>
      <w:r>
        <w:rPr>
          <w:rFonts w:hint="default" w:ascii="Times New Roman" w:hAnsi="Times New Roman" w:eastAsia="方正小标宋简体" w:cs="Times New Roman"/>
          <w:bCs/>
          <w:sz w:val="44"/>
          <w:szCs w:val="44"/>
          <w:lang w:eastAsia="zh-CN"/>
        </w:rPr>
        <w:t>全民营养周暨</w:t>
      </w:r>
      <w:r>
        <w:rPr>
          <w:rFonts w:hint="eastAsia" w:ascii="Times New Roman" w:hAnsi="Times New Roman" w:eastAsia="方正小标宋简体" w:cs="Times New Roman"/>
          <w:bCs/>
          <w:sz w:val="44"/>
          <w:szCs w:val="44"/>
          <w:lang w:eastAsia="zh-CN"/>
        </w:rPr>
        <w:t>“</w:t>
      </w:r>
      <w:r>
        <w:rPr>
          <w:rFonts w:hint="default" w:ascii="Times New Roman" w:hAnsi="Times New Roman" w:eastAsia="方正小标宋简体" w:cs="Times New Roman"/>
          <w:bCs/>
          <w:sz w:val="44"/>
          <w:szCs w:val="44"/>
          <w:lang w:eastAsia="zh-CN"/>
        </w:rPr>
        <w:t>5·20</w:t>
      </w:r>
      <w:r>
        <w:rPr>
          <w:rFonts w:hint="eastAsia" w:ascii="Times New Roman" w:hAnsi="Times New Roman" w:eastAsia="方正小标宋简体" w:cs="Times New Roman"/>
          <w:bCs/>
          <w:sz w:val="44"/>
          <w:szCs w:val="44"/>
          <w:lang w:eastAsia="zh-CN"/>
        </w:rPr>
        <w:t>”</w:t>
      </w:r>
      <w:r>
        <w:rPr>
          <w:rFonts w:hint="default" w:ascii="Times New Roman" w:hAnsi="Times New Roman" w:eastAsia="方正小标宋简体" w:cs="Times New Roman"/>
          <w:bCs/>
          <w:sz w:val="44"/>
          <w:szCs w:val="44"/>
          <w:lang w:eastAsia="zh-CN"/>
        </w:rPr>
        <w:t>中国学生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bCs/>
          <w:sz w:val="44"/>
          <w:szCs w:val="44"/>
          <w:lang w:eastAsia="zh-CN"/>
        </w:rPr>
      </w:pPr>
      <w:r>
        <w:rPr>
          <w:rFonts w:hint="default" w:ascii="Times New Roman" w:hAnsi="Times New Roman" w:eastAsia="方正小标宋简体" w:cs="Times New Roman"/>
          <w:bCs/>
          <w:sz w:val="44"/>
          <w:szCs w:val="44"/>
          <w:lang w:eastAsia="zh-CN"/>
        </w:rPr>
        <w:t>营养日主题宣传活动方案</w:t>
      </w:r>
      <w:r>
        <w:rPr>
          <w:rFonts w:hint="eastAsia" w:ascii="Times New Roman" w:hAnsi="Times New Roman" w:eastAsia="方正小标宋简体" w:cs="Times New Roman"/>
          <w:bCs/>
          <w:sz w:val="44"/>
          <w:szCs w:val="44"/>
          <w:lang w:eastAsia="zh-CN"/>
        </w:rPr>
        <w:t>》</w:t>
      </w:r>
      <w:r>
        <w:rPr>
          <w:rFonts w:hint="default" w:ascii="Times New Roman" w:hAnsi="Times New Roman" w:eastAsia="方正小标宋简体" w:cs="Times New Roman"/>
          <w:bCs/>
          <w:sz w:val="44"/>
          <w:szCs w:val="44"/>
          <w:lang w:eastAsia="zh-CN"/>
        </w:rPr>
        <w:t>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区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疾控中心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各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医疗卫生机构，各学校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为做好我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区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年全民营养周暨“5·20”中国学生营养日主题宣传活动，按照《市卫生健康委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市教委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关于印发天津市202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年全民营养周暨“5·20”中国学生营养日主题宣传活动方案的通知》（津卫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疾控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〔202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〕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167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号）要求，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区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卫生健康委、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区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教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体局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联合制定了《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滨海新区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年全民营养周暨“5·20”中国学生营养日主题宣传活动方案》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现印发给你们，请按要求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认真贯彻落实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  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 xml:space="preserve">卫生健康委                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区教体局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               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年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16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sectPr>
          <w:footerReference r:id="rId3" w:type="default"/>
          <w:pgSz w:w="11906" w:h="16838"/>
          <w:pgMar w:top="2098" w:right="1474" w:bottom="1417" w:left="1587" w:header="851" w:footer="1587" w:gutter="0"/>
          <w:pgNumType w:fmt="numberInDash"/>
          <w:cols w:space="0" w:num="1"/>
          <w:rtlGutter w:val="0"/>
          <w:docGrid w:type="lines" w:linePitch="312" w:charSpace="0"/>
        </w:sect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（此件主动公开）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Times New Roman" w:hAnsi="Times New Roman" w:eastAsia="方正小标宋简体" w:cs="Times New Roman"/>
          <w:bCs/>
          <w:sz w:val="44"/>
          <w:szCs w:val="44"/>
          <w:lang w:eastAsia="zh-CN"/>
        </w:rPr>
      </w:pPr>
      <w:r>
        <w:rPr>
          <w:rFonts w:hint="eastAsia" w:ascii="Times New Roman" w:hAnsi="Times New Roman" w:eastAsia="方正小标宋简体" w:cs="Times New Roman"/>
          <w:bCs/>
          <w:sz w:val="44"/>
          <w:szCs w:val="44"/>
          <w:lang w:eastAsia="zh-CN"/>
        </w:rPr>
        <w:t>滨海新区</w:t>
      </w:r>
      <w:r>
        <w:rPr>
          <w:rFonts w:hint="default" w:ascii="Times New Roman" w:hAnsi="Times New Roman" w:eastAsia="方正小标宋简体" w:cs="Times New Roman"/>
          <w:bCs/>
          <w:sz w:val="44"/>
          <w:szCs w:val="44"/>
          <w:lang w:eastAsia="zh-CN"/>
        </w:rPr>
        <w:t>202</w:t>
      </w:r>
      <w:r>
        <w:rPr>
          <w:rFonts w:hint="eastAsia" w:ascii="Times New Roman" w:hAnsi="Times New Roman" w:eastAsia="方正小标宋简体" w:cs="Times New Roman"/>
          <w:bCs/>
          <w:sz w:val="44"/>
          <w:szCs w:val="44"/>
          <w:lang w:val="en-US" w:eastAsia="zh-CN"/>
        </w:rPr>
        <w:t>3</w:t>
      </w:r>
      <w:r>
        <w:rPr>
          <w:rFonts w:hint="default" w:ascii="Times New Roman" w:hAnsi="Times New Roman" w:eastAsia="方正小标宋简体" w:cs="Times New Roman"/>
          <w:bCs/>
          <w:sz w:val="44"/>
          <w:szCs w:val="44"/>
          <w:lang w:eastAsia="zh-CN"/>
        </w:rPr>
        <w:t>年全民营养周暨</w:t>
      </w:r>
      <w:r>
        <w:rPr>
          <w:rFonts w:hint="eastAsia" w:ascii="Times New Roman" w:hAnsi="Times New Roman" w:eastAsia="方正小标宋简体" w:cs="Times New Roman"/>
          <w:bCs/>
          <w:sz w:val="44"/>
          <w:szCs w:val="44"/>
          <w:lang w:eastAsia="zh-CN"/>
        </w:rPr>
        <w:t>“</w:t>
      </w:r>
      <w:r>
        <w:rPr>
          <w:rFonts w:hint="default" w:ascii="Times New Roman" w:hAnsi="Times New Roman" w:eastAsia="方正小标宋简体" w:cs="Times New Roman"/>
          <w:bCs/>
          <w:sz w:val="44"/>
          <w:szCs w:val="44"/>
          <w:lang w:eastAsia="zh-CN"/>
        </w:rPr>
        <w:t>5·20</w:t>
      </w:r>
      <w:r>
        <w:rPr>
          <w:rFonts w:hint="eastAsia" w:ascii="Times New Roman" w:hAnsi="Times New Roman" w:eastAsia="方正小标宋简体" w:cs="Times New Roman"/>
          <w:bCs/>
          <w:sz w:val="44"/>
          <w:szCs w:val="44"/>
          <w:lang w:eastAsia="zh-CN"/>
        </w:rPr>
        <w:t>”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bCs/>
          <w:sz w:val="44"/>
          <w:szCs w:val="44"/>
          <w:lang w:eastAsia="zh-CN"/>
        </w:rPr>
      </w:pPr>
      <w:r>
        <w:rPr>
          <w:rFonts w:hint="default" w:ascii="Times New Roman" w:hAnsi="Times New Roman" w:eastAsia="方正小标宋简体" w:cs="Times New Roman"/>
          <w:bCs/>
          <w:sz w:val="44"/>
          <w:szCs w:val="44"/>
          <w:lang w:eastAsia="zh-CN"/>
        </w:rPr>
        <w:t>中国学生营养日主题宣传活动方案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为贯彻落实《健康天津行动—合理膳食行动》及《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滨海新区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国民营养计划（2017-2030年）》及学生营养改善行动，积极宣贯《中国居民膳食指南（2022）》《成人高血压食养指南（2023年版）》《成人糖尿病食养指南（2023年版）》及《成人高脂血症食养指南（2023年版）》等核心知识，强化宣传合理膳食和食养对防控疾病的重要意义，逐步落实营养健康餐厅、营养健康食堂建设要求，关注学生营养与健康，加快提升大众参与度，培育健康食养、健康烹饪意识和习惯，树立健康饮食新风，助力健康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滨海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建设，在全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区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组织开展系列营养健康主题宣传活动。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  <w:lang w:eastAsia="zh-CN"/>
        </w:rPr>
        <w:t>一、活动时间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2023年5月15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—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21日（5月第三周）是第9届全民营养周；5月20日是第34届“5·20”中国学生营养日。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  <w:lang w:eastAsia="zh-CN"/>
        </w:rPr>
        <w:t>二、活动主题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eastAsia="zh-CN"/>
        </w:rPr>
        <w:t>全民营养周宣传口号为“健康中国，营养先行”，传播主题为“合理膳食 食养是良医”。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eastAsia="zh-CN"/>
        </w:rPr>
        <w:t>“5·20”中国学生营养日的传播主题为“科学食养 助力儿童健康成长”。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  <w:lang w:eastAsia="zh-CN"/>
        </w:rPr>
        <w:t>三、活动安排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楷体_GB2312" w:hAnsi="楷体_GB2312" w:eastAsia="楷体_GB2312" w:cs="楷体_GB2312"/>
          <w:color w:val="auto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color w:val="auto"/>
          <w:sz w:val="32"/>
          <w:szCs w:val="32"/>
          <w:lang w:eastAsia="zh-CN"/>
        </w:rPr>
        <w:t>（一）工具包的下载、发放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全民营养周相关主题核心信息系列资料、logo、知识传播工具包和印刷模板等，于5月初通过中国营养学会官网和微信公众号“中国营养界”统一发布，供各参与单位下载使用。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FF000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“5·20”中国学生营养日相关主题核心信息系列资料、logo、知识传播工具包和印刷模板等，于5月初通过中国学生营养与健康促进会官网和微信公众号“中国学生健康”统一发布，供各参与单位下载使用。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楷体_GB2312" w:hAnsi="楷体_GB2312" w:eastAsia="楷体_GB2312" w:cs="楷体_GB2312"/>
          <w:color w:val="auto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color w:val="auto"/>
          <w:sz w:val="32"/>
          <w:szCs w:val="32"/>
          <w:lang w:eastAsia="zh-CN"/>
        </w:rPr>
        <w:t>（二）启动仪式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/>
          <w:lang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紧密结合《健康天津行动实施方案—合理膳食行动》《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滨海新区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国民营养计划（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2017-2030年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）》等重大规划部署，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举办线下启动仪式。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活动现场将向全市居民解读2023年全民营养周和“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5·20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”中国学生营养日传播主题，推广普及新版中国居民膳食指南核心信息，重点解读《成人高血压食养指南（2023版）》等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个食养指南，并结合传播主题推出系列线上线下活动，鼓励社会各界参与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并通过“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滨海卫生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”“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滨海新区疾控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”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等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微信公众号号向广大市民发布。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楷体_GB2312" w:hAnsi="楷体_GB2312" w:eastAsia="楷体_GB2312" w:cs="楷体_GB2312"/>
          <w:color w:val="auto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color w:val="auto"/>
          <w:sz w:val="32"/>
          <w:szCs w:val="32"/>
          <w:lang w:eastAsia="zh-CN"/>
        </w:rPr>
        <w:t>（三）线下</w:t>
      </w: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落地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  <w:lang w:eastAsia="zh-CN"/>
        </w:rPr>
        <w:t>活动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各单位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广泛动员，围绕2023年全民营养周和“5·20”中国学生营养日的宣传口号和主题开展科普及公益落地活动，通过电子屏幕展示、海报张贴、宣传折页发放，摆放 “一图读懂天津市国民营养计划”“新版膳食指南核心信息” “全民健康生活方式行动”易拉宝或展牌等，根据工具包内容自行制作并发放宣传品，进一步落实好进社区（或养老机构）、进乡村、进学校、进超市、进餐厅“五进”活动（至少选择1种类型场所），并结合已创建的营养健康餐厅、营养健康食堂开展营养宣教活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color w:val="auto"/>
          <w:sz w:val="32"/>
          <w:szCs w:val="32"/>
          <w:lang w:eastAsia="zh-CN"/>
        </w:rPr>
        <w:t>（四）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线上传播活动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FF0000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1.线上展示宣传主题。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各单位要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充分发挥主流媒体和新媒体（如官网、微信公众号、视频号、微博、头条号、抖音等）的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方式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（至少选择两种），在线上平台展示电子主题背板（市疾控中心下发模板，需自行丰富内容信息）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2.转发市区两级活动。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积极传播《中国居民膳食指南（2022）》《中国老年人膳食指南（2022）》《成人高血压食养指南（2023版）》《成人糖尿病食养指南（2023版）》《成人高脂血症食养指南（2023版）》及《儿童青少年生长迟缓食养指南（2023版）》等核心知识。利用本区现有宣传平台和渠道优势，形成多种媒体广泛传播、科普活动遍及全区的良好氛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3.原创作品投稿。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区疾控中心需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按照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市疾控中心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规定的时间要求，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投送原创主题科普文章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（视频）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一篇，文章需原创、科普性强、内容简短、切合本年度宣传主题、图文并茂（不含活动报道）。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color w:val="auto"/>
          <w:sz w:val="32"/>
          <w:szCs w:val="32"/>
          <w:lang w:eastAsia="zh-CN"/>
        </w:rPr>
        <w:t>（五）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在全市大、中、小学开展“健康信使”传递活动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1.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以“科学食养 助力儿童健康成长”为主题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线上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“一封信”传递活动。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师生、家长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作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为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传递活动的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“健康信使”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“给全市学生的一封信”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由市疾控中心撰写提供。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2.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每个学校至少开展一次形式多样的主题宣传活动，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活动要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结合宣传口号及传播主题，如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主题班会、蔬果运动会、主题演讲比赛、家长微信群传递健康信息等。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楷体_GB2312" w:hAnsi="楷体_GB2312" w:eastAsia="楷体_GB2312" w:cs="楷体_GB2312"/>
          <w:sz w:val="32"/>
          <w:szCs w:val="32"/>
          <w:highlight w:val="none"/>
          <w:lang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eastAsia="zh-CN"/>
        </w:rPr>
        <w:t>（六）特色活动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区疾控中心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在多种场所发放特色活动营养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健康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宣传品，并保存好发放记录。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楷体_GB2312" w:hAnsi="楷体_GB2312" w:eastAsia="楷体_GB2312" w:cs="楷体_GB2312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（七）效果评估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各单位在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活动结束后及时进行效果评估，活动满意率须达到70%以上。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  <w:lang w:eastAsia="zh-CN"/>
        </w:rPr>
        <w:t>四、相关要求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（一）各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单位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要认真组织落实本方案工作要求，充分认识宣传活动的重要意义，明确责任分工，并在活动结束后认真总结宣传活动的主要做法、成效和经验。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（二）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各学校和各医疗卫生机构于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5月31日前将活动开展情况（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包括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：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活动总结、典型照片及媒体报道情况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），分别报区教体局邮箱和区疾控中心邮箱。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区教体局和区疾控中心汇总后，负责填写《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202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年全民营养周暨“5·20”中国学生营养日主题宣传活动总结表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》（附件），将教育系统和卫生健康系统活动总结和附件报区卫生健康委汇总。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联系人：区卫生健康委疾控室李晓莹，电话：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65369027，邮箱：</w:t>
      </w:r>
      <w:r>
        <w:rPr>
          <w:rFonts w:hint="default" w:ascii="Times New Roman" w:hAnsi="Times New Roman" w:eastAsia="仿宋_GB2312" w:cs="Times New Roman"/>
          <w:sz w:val="32"/>
          <w:szCs w:val="32"/>
          <w:lang w:val="en" w:eastAsia="zh-CN"/>
        </w:rPr>
        <w:t>bhwjwjbyfkzs@tj.gov.cn;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联系人：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区教体局刘家旭，电话：66896297，邮箱：</w:t>
      </w:r>
      <w:r>
        <w:rPr>
          <w:rFonts w:hint="default" w:ascii="Times New Roman" w:hAnsi="Times New Roman" w:eastAsia="仿宋_GB2312" w:cs="Times New Roman"/>
          <w:sz w:val="32"/>
          <w:szCs w:val="32"/>
          <w:lang w:val="en" w:eastAsia="zh-CN"/>
        </w:rPr>
        <w:t>bhxqws@163.com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；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联系人：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区疾控中心柳艳萍，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 xml:space="preserve">电话: 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25694685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，邮箱：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mkk@bhxqcdc.org.cn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附件：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年全民营养周暨“5·20”中国学生营养日主题宣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传活动总结表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     </w:t>
      </w:r>
    </w:p>
    <w:p>
      <w:pPr>
        <w:pStyle w:val="2"/>
        <w:jc w:val="both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bookmarkStart w:id="0" w:name="_GoBack"/>
      <w:bookmarkEnd w:id="0"/>
    </w:p>
    <w:sectPr>
      <w:pgSz w:w="11906" w:h="16838"/>
      <w:pgMar w:top="2098" w:right="1474" w:bottom="1417" w:left="1587" w:header="851" w:footer="992" w:gutter="0"/>
      <w:pgNumType w:fmt="numberInDash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Wingdings 2">
    <w:altName w:val="Wingdings"/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10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6"/>
                            <w:keepNext w:val="0"/>
                            <w:keepLines w:val="0"/>
                            <w:pageBreakBefore w:val="0"/>
                            <w:widowControl w:val="0"/>
                            <w:kinsoku/>
                            <w:wordWrap/>
                            <w:overflowPunct/>
                            <w:topLinePunct w:val="0"/>
                            <w:autoSpaceDE/>
                            <w:autoSpaceDN/>
                            <w:bidi w:val="0"/>
                            <w:adjustRightInd/>
                            <w:snapToGrid w:val="0"/>
                            <w:ind w:left="220" w:leftChars="100" w:right="220" w:rightChars="100"/>
                            <w:textAlignment w:val="auto"/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5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keepNext w:val="0"/>
                      <w:keepLines w:val="0"/>
                      <w:pageBreakBefore w:val="0"/>
                      <w:widowControl w:val="0"/>
                      <w:kinsoku/>
                      <w:wordWrap/>
                      <w:overflowPunct/>
                      <w:topLinePunct w:val="0"/>
                      <w:autoSpaceDE/>
                      <w:autoSpaceDN/>
                      <w:bidi w:val="0"/>
                      <w:adjustRightInd/>
                      <w:snapToGrid w:val="0"/>
                      <w:ind w:left="220" w:leftChars="100" w:right="220" w:rightChars="100"/>
                      <w:textAlignment w:val="auto"/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RkZTc3MGFmNDFjMTZiZTEzNzczM2ZkZmYyM2YzMTUifQ=="/>
  </w:docVars>
  <w:rsids>
    <w:rsidRoot w:val="00821036"/>
    <w:rsid w:val="00007B3B"/>
    <w:rsid w:val="000A2EC1"/>
    <w:rsid w:val="00111AF9"/>
    <w:rsid w:val="00140BBF"/>
    <w:rsid w:val="00182019"/>
    <w:rsid w:val="00186669"/>
    <w:rsid w:val="00195BC3"/>
    <w:rsid w:val="001B3123"/>
    <w:rsid w:val="001B6E29"/>
    <w:rsid w:val="001E397B"/>
    <w:rsid w:val="001F279E"/>
    <w:rsid w:val="00253567"/>
    <w:rsid w:val="002749CD"/>
    <w:rsid w:val="002E2091"/>
    <w:rsid w:val="00341B39"/>
    <w:rsid w:val="003807B5"/>
    <w:rsid w:val="00391E3C"/>
    <w:rsid w:val="00403BF0"/>
    <w:rsid w:val="00467CDE"/>
    <w:rsid w:val="00485DEF"/>
    <w:rsid w:val="004B73E2"/>
    <w:rsid w:val="004D18B7"/>
    <w:rsid w:val="004D234B"/>
    <w:rsid w:val="0050659B"/>
    <w:rsid w:val="00514F2F"/>
    <w:rsid w:val="00596A79"/>
    <w:rsid w:val="005C23B3"/>
    <w:rsid w:val="005E352D"/>
    <w:rsid w:val="00640410"/>
    <w:rsid w:val="0069772B"/>
    <w:rsid w:val="006B6D32"/>
    <w:rsid w:val="0075642A"/>
    <w:rsid w:val="00764D38"/>
    <w:rsid w:val="007713F5"/>
    <w:rsid w:val="007B184F"/>
    <w:rsid w:val="007B6718"/>
    <w:rsid w:val="007B6C8F"/>
    <w:rsid w:val="00816614"/>
    <w:rsid w:val="00821036"/>
    <w:rsid w:val="00881F6D"/>
    <w:rsid w:val="0089181F"/>
    <w:rsid w:val="008D65F3"/>
    <w:rsid w:val="008D6C91"/>
    <w:rsid w:val="00952B52"/>
    <w:rsid w:val="00962AF4"/>
    <w:rsid w:val="00986F53"/>
    <w:rsid w:val="00995FBB"/>
    <w:rsid w:val="009C14E5"/>
    <w:rsid w:val="009C7D6F"/>
    <w:rsid w:val="00A22D3B"/>
    <w:rsid w:val="00A7578F"/>
    <w:rsid w:val="00A978C4"/>
    <w:rsid w:val="00AA1627"/>
    <w:rsid w:val="00B612DA"/>
    <w:rsid w:val="00B778B8"/>
    <w:rsid w:val="00B86CCD"/>
    <w:rsid w:val="00BA17EB"/>
    <w:rsid w:val="00C117B1"/>
    <w:rsid w:val="00C61743"/>
    <w:rsid w:val="00C64962"/>
    <w:rsid w:val="00C654D3"/>
    <w:rsid w:val="00C67156"/>
    <w:rsid w:val="00CB62F2"/>
    <w:rsid w:val="00CE7970"/>
    <w:rsid w:val="00D06755"/>
    <w:rsid w:val="00D634B4"/>
    <w:rsid w:val="00DC6B38"/>
    <w:rsid w:val="00DD7B2D"/>
    <w:rsid w:val="00ED0050"/>
    <w:rsid w:val="00ED652F"/>
    <w:rsid w:val="00EE04C2"/>
    <w:rsid w:val="00F96EAB"/>
    <w:rsid w:val="00FA617E"/>
    <w:rsid w:val="00FC6959"/>
    <w:rsid w:val="00FF5264"/>
    <w:rsid w:val="02F05C02"/>
    <w:rsid w:val="05545892"/>
    <w:rsid w:val="07131EBF"/>
    <w:rsid w:val="13BF2DD0"/>
    <w:rsid w:val="14411E19"/>
    <w:rsid w:val="14B74FC0"/>
    <w:rsid w:val="14D36D80"/>
    <w:rsid w:val="1549647B"/>
    <w:rsid w:val="1B6F54BE"/>
    <w:rsid w:val="1C5B4D89"/>
    <w:rsid w:val="272D51F9"/>
    <w:rsid w:val="2EF9057E"/>
    <w:rsid w:val="318E88DE"/>
    <w:rsid w:val="3A706705"/>
    <w:rsid w:val="3DFB187A"/>
    <w:rsid w:val="3EBF6E24"/>
    <w:rsid w:val="3F7F0861"/>
    <w:rsid w:val="3FDE98B8"/>
    <w:rsid w:val="3FFF4050"/>
    <w:rsid w:val="41A96C95"/>
    <w:rsid w:val="495C4A24"/>
    <w:rsid w:val="4A700B24"/>
    <w:rsid w:val="51E52377"/>
    <w:rsid w:val="54FE7A42"/>
    <w:rsid w:val="55B583A2"/>
    <w:rsid w:val="55D703E7"/>
    <w:rsid w:val="575079A5"/>
    <w:rsid w:val="58311772"/>
    <w:rsid w:val="5D578549"/>
    <w:rsid w:val="5DF3153C"/>
    <w:rsid w:val="5F6FE017"/>
    <w:rsid w:val="5FDF37F2"/>
    <w:rsid w:val="6504351B"/>
    <w:rsid w:val="65C15EE3"/>
    <w:rsid w:val="6CAD71C1"/>
    <w:rsid w:val="6D5E69F4"/>
    <w:rsid w:val="6DFC9FAA"/>
    <w:rsid w:val="70FB1CEF"/>
    <w:rsid w:val="71AF0A90"/>
    <w:rsid w:val="746E5488"/>
    <w:rsid w:val="747745D5"/>
    <w:rsid w:val="75F45C3D"/>
    <w:rsid w:val="77FFA66A"/>
    <w:rsid w:val="79BF868A"/>
    <w:rsid w:val="79F5AEDD"/>
    <w:rsid w:val="7ED7C154"/>
    <w:rsid w:val="7EDA72B2"/>
    <w:rsid w:val="7EEF6734"/>
    <w:rsid w:val="7F5913C0"/>
    <w:rsid w:val="7FB579EC"/>
    <w:rsid w:val="7FDE2DB4"/>
    <w:rsid w:val="7FDEB1AF"/>
    <w:rsid w:val="7FE7D559"/>
    <w:rsid w:val="7FEF37F7"/>
    <w:rsid w:val="8FBF2887"/>
    <w:rsid w:val="8FFF35CB"/>
    <w:rsid w:val="9BDB2624"/>
    <w:rsid w:val="9F97E871"/>
    <w:rsid w:val="AD6D7822"/>
    <w:rsid w:val="B2F92E70"/>
    <w:rsid w:val="B7F659D7"/>
    <w:rsid w:val="B7F7D815"/>
    <w:rsid w:val="BBB57896"/>
    <w:rsid w:val="BEECE5C6"/>
    <w:rsid w:val="BFCBA911"/>
    <w:rsid w:val="DEFF8176"/>
    <w:rsid w:val="DFD4236F"/>
    <w:rsid w:val="DFF235AB"/>
    <w:rsid w:val="EBFFAF6E"/>
    <w:rsid w:val="EBFFE7A3"/>
    <w:rsid w:val="EEFBEF00"/>
    <w:rsid w:val="EFBB2D0F"/>
    <w:rsid w:val="EFF81659"/>
    <w:rsid w:val="F5BEEF26"/>
    <w:rsid w:val="F5FED216"/>
    <w:rsid w:val="F6FF581A"/>
    <w:rsid w:val="F7FFE02F"/>
    <w:rsid w:val="FBA77C1A"/>
    <w:rsid w:val="FD7F42B2"/>
    <w:rsid w:val="FF9ADF4B"/>
    <w:rsid w:val="FFF75831"/>
    <w:rsid w:val="FFFB7BDE"/>
    <w:rsid w:val="FFFFE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1"/>
    <w:pPr>
      <w:widowControl w:val="0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styleId="3">
    <w:name w:val="heading 1"/>
    <w:basedOn w:val="1"/>
    <w:next w:val="1"/>
    <w:link w:val="17"/>
    <w:qFormat/>
    <w:uiPriority w:val="1"/>
    <w:pPr>
      <w:ind w:left="274"/>
      <w:outlineLvl w:val="0"/>
    </w:pPr>
    <w:rPr>
      <w:rFonts w:ascii="宋体" w:hAnsi="宋体" w:eastAsia="宋体"/>
      <w:sz w:val="41"/>
      <w:szCs w:val="41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qFormat/>
    <w:uiPriority w:val="1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  <w:style w:type="paragraph" w:styleId="4">
    <w:name w:val="annotation text"/>
    <w:basedOn w:val="1"/>
    <w:link w:val="19"/>
    <w:semiHidden/>
    <w:unhideWhenUsed/>
    <w:qFormat/>
    <w:uiPriority w:val="99"/>
  </w:style>
  <w:style w:type="paragraph" w:styleId="5">
    <w:name w:val="Balloon Text"/>
    <w:basedOn w:val="1"/>
    <w:link w:val="21"/>
    <w:semiHidden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16"/>
    <w:unhideWhenUsed/>
    <w:qFormat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7">
    <w:name w:val="header"/>
    <w:basedOn w:val="1"/>
    <w:link w:val="1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annotation subject"/>
    <w:basedOn w:val="4"/>
    <w:next w:val="4"/>
    <w:link w:val="20"/>
    <w:semiHidden/>
    <w:unhideWhenUsed/>
    <w:qFormat/>
    <w:uiPriority w:val="99"/>
    <w:rPr>
      <w:b/>
      <w:bCs/>
    </w:rPr>
  </w:style>
  <w:style w:type="table" w:styleId="10">
    <w:name w:val="Table Grid"/>
    <w:basedOn w:val="9"/>
    <w:qFormat/>
    <w:uiPriority w:val="59"/>
    <w:rPr>
      <w:kern w:val="2"/>
      <w:sz w:val="21"/>
      <w:szCs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page number"/>
    <w:basedOn w:val="11"/>
    <w:qFormat/>
    <w:uiPriority w:val="0"/>
  </w:style>
  <w:style w:type="character" w:styleId="13">
    <w:name w:val="Hyperlink"/>
    <w:basedOn w:val="11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styleId="14">
    <w:name w:val="annotation reference"/>
    <w:basedOn w:val="11"/>
    <w:semiHidden/>
    <w:unhideWhenUsed/>
    <w:qFormat/>
    <w:uiPriority w:val="99"/>
    <w:rPr>
      <w:sz w:val="21"/>
      <w:szCs w:val="21"/>
    </w:rPr>
  </w:style>
  <w:style w:type="character" w:customStyle="1" w:styleId="15">
    <w:name w:val="页眉 Char"/>
    <w:basedOn w:val="11"/>
    <w:link w:val="7"/>
    <w:qFormat/>
    <w:uiPriority w:val="99"/>
    <w:rPr>
      <w:sz w:val="18"/>
      <w:szCs w:val="18"/>
    </w:rPr>
  </w:style>
  <w:style w:type="character" w:customStyle="1" w:styleId="16">
    <w:name w:val="页脚 Char"/>
    <w:basedOn w:val="11"/>
    <w:link w:val="6"/>
    <w:qFormat/>
    <w:uiPriority w:val="99"/>
    <w:rPr>
      <w:sz w:val="18"/>
      <w:szCs w:val="18"/>
    </w:rPr>
  </w:style>
  <w:style w:type="character" w:customStyle="1" w:styleId="17">
    <w:name w:val="标题 1 Char"/>
    <w:basedOn w:val="11"/>
    <w:link w:val="3"/>
    <w:qFormat/>
    <w:uiPriority w:val="1"/>
    <w:rPr>
      <w:rFonts w:ascii="宋体" w:hAnsi="宋体" w:eastAsia="宋体"/>
      <w:kern w:val="0"/>
      <w:sz w:val="41"/>
      <w:szCs w:val="41"/>
      <w:lang w:eastAsia="en-US"/>
    </w:rPr>
  </w:style>
  <w:style w:type="paragraph" w:customStyle="1" w:styleId="18">
    <w:name w:val="列出段落1"/>
    <w:basedOn w:val="1"/>
    <w:qFormat/>
    <w:uiPriority w:val="0"/>
    <w:pPr>
      <w:ind w:firstLine="420" w:firstLineChars="200"/>
      <w:jc w:val="both"/>
    </w:pPr>
    <w:rPr>
      <w:rFonts w:ascii="Calibri" w:hAnsi="Calibri" w:eastAsia="宋体" w:cs="Times New Roman"/>
      <w:kern w:val="2"/>
      <w:sz w:val="21"/>
      <w:lang w:eastAsia="zh-CN"/>
    </w:rPr>
  </w:style>
  <w:style w:type="character" w:customStyle="1" w:styleId="19">
    <w:name w:val="批注文字 Char"/>
    <w:basedOn w:val="11"/>
    <w:link w:val="4"/>
    <w:semiHidden/>
    <w:qFormat/>
    <w:uiPriority w:val="99"/>
    <w:rPr>
      <w:kern w:val="0"/>
      <w:sz w:val="22"/>
      <w:lang w:eastAsia="en-US"/>
    </w:rPr>
  </w:style>
  <w:style w:type="character" w:customStyle="1" w:styleId="20">
    <w:name w:val="批注主题 Char"/>
    <w:basedOn w:val="19"/>
    <w:link w:val="8"/>
    <w:semiHidden/>
    <w:qFormat/>
    <w:uiPriority w:val="99"/>
    <w:rPr>
      <w:b/>
      <w:bCs/>
      <w:kern w:val="0"/>
      <w:sz w:val="22"/>
      <w:lang w:eastAsia="en-US"/>
    </w:rPr>
  </w:style>
  <w:style w:type="character" w:customStyle="1" w:styleId="21">
    <w:name w:val="批注框文本 Char"/>
    <w:basedOn w:val="11"/>
    <w:link w:val="5"/>
    <w:semiHidden/>
    <w:qFormat/>
    <w:uiPriority w:val="99"/>
    <w:rPr>
      <w:kern w:val="0"/>
      <w:sz w:val="18"/>
      <w:szCs w:val="18"/>
      <w:lang w:eastAsia="en-US"/>
    </w:rPr>
  </w:style>
  <w:style w:type="paragraph" w:customStyle="1" w:styleId="22">
    <w:name w:val="列出段落2"/>
    <w:basedOn w:val="1"/>
    <w:qFormat/>
    <w:uiPriority w:val="0"/>
    <w:pPr>
      <w:ind w:firstLine="420" w:firstLineChars="200"/>
      <w:jc w:val="both"/>
    </w:pPr>
    <w:rPr>
      <w:rFonts w:ascii="Calibri" w:hAnsi="Calibri" w:eastAsia="宋体" w:cs="Times New Roman"/>
      <w:kern w:val="2"/>
      <w:sz w:val="21"/>
      <w:lang w:eastAsia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8</Pages>
  <Words>2483</Words>
  <Characters>2728</Characters>
  <Lines>32</Lines>
  <Paragraphs>9</Paragraphs>
  <TotalTime>19</TotalTime>
  <ScaleCrop>false</ScaleCrop>
  <LinksUpToDate>false</LinksUpToDate>
  <CharactersWithSpaces>3141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2021-04-15T10:08:00Z</dcterms:created>
  <dc:creator>李昌昆</dc:creator>
  <cp:lastModifiedBy>Administrator</cp:lastModifiedBy>
  <cp:lastPrinted>2022-05-14T16:53:00Z</cp:lastPrinted>
  <dcterms:modified xsi:type="dcterms:W3CDTF">2023-05-31T08:17:24Z</dcterms:modified>
  <cp:revision>27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19005D03D5AE46D687AB8C9BD0BF9C4F_13</vt:lpwstr>
  </property>
</Properties>
</file>