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880" w:hanging="880" w:hangingChars="200"/>
        <w:jc w:val="both"/>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仿宋" w:eastAsia="方正小标宋简体" w:cs="Times New Roman"/>
          <w:sz w:val="44"/>
          <w:szCs w:val="44"/>
          <w:lang w:val="en-US" w:eastAsia="zh-CN"/>
        </w:rPr>
        <w:t>区卫生健康委关于印发《滨海新区2022年民营医院专项巡查行动工作方案》的通知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hint="eastAsia" w:ascii="仿宋_GB2312" w:hAnsi="仿宋_GB2312" w:eastAsia="仿宋_GB2312" w:cs="仿宋_GB2312"/>
          <w:sz w:val="32"/>
          <w:szCs w:val="32"/>
          <w:lang w:eastAsia="zh-CN"/>
        </w:rPr>
        <w:t>各开发区、泰达街卫生健康管理部门，各民营医院：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推进健康中国战略和健康天津建设，着力构建优质高效的医疗卫生服务体系，引导民营医院端正办医理念、规范执业行为，强化内部管理，加强行风建设。区卫生健康委研究制定了《滨海新区2022年民营医院专项巡查行动工作方案》，现印发给你们，请遵照执行。</w:t>
      </w:r>
    </w:p>
    <w:p>
      <w:pPr>
        <w:keepNext w:val="0"/>
        <w:keepLines w:val="0"/>
        <w:pageBreakBefore w:val="0"/>
        <w:widowControl w:val="0"/>
        <w:kinsoku/>
        <w:wordWrap/>
        <w:overflowPunct/>
        <w:topLinePunct w:val="0"/>
        <w:autoSpaceDE/>
        <w:autoSpaceDN/>
        <w:bidi w:val="0"/>
        <w:adjustRightInd/>
        <w:snapToGrid/>
        <w:spacing w:line="560" w:lineRule="exact"/>
        <w:ind w:left="319" w:leftChars="152" w:firstLine="320" w:firstLineChars="1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800" w:firstLineChars="15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2022年6月29日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方正小标宋简体" w:hAnsi="仿宋" w:eastAsia="方正小标宋简体" w:cs="Times New Roman"/>
          <w:sz w:val="44"/>
          <w:szCs w:val="44"/>
          <w:lang w:val="en-US" w:eastAsia="zh-CN"/>
        </w:rPr>
      </w:pPr>
      <w:r>
        <w:rPr>
          <w:rFonts w:hint="eastAsia" w:ascii="仿宋_GB2312" w:hAnsi="仿宋_GB2312" w:eastAsia="仿宋_GB2312" w:cs="仿宋_GB2312"/>
          <w:sz w:val="32"/>
          <w:szCs w:val="32"/>
          <w:lang w:eastAsia="zh-CN"/>
        </w:rPr>
        <w:t>（此件主动公开）</w:t>
      </w:r>
    </w:p>
    <w:p>
      <w:pPr>
        <w:keepNext w:val="0"/>
        <w:keepLines w:val="0"/>
        <w:pageBreakBefore w:val="0"/>
        <w:widowControl w:val="0"/>
        <w:kinsoku/>
        <w:wordWrap/>
        <w:overflowPunct/>
        <w:topLinePunct w:val="0"/>
        <w:autoSpaceDE/>
        <w:autoSpaceDN/>
        <w:bidi w:val="0"/>
        <w:adjustRightInd/>
        <w:snapToGrid/>
        <w:spacing w:line="560" w:lineRule="exact"/>
        <w:ind w:firstLine="440" w:firstLineChars="100"/>
        <w:jc w:val="both"/>
        <w:textAlignment w:val="auto"/>
        <w:rPr>
          <w:rFonts w:hint="eastAsia" w:ascii="方正小标宋简体" w:hAnsi="仿宋"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40" w:firstLineChars="100"/>
        <w:jc w:val="both"/>
        <w:textAlignment w:val="auto"/>
        <w:rPr>
          <w:rFonts w:hint="eastAsia" w:ascii="方正小标宋简体" w:hAnsi="仿宋"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440" w:firstLineChars="100"/>
        <w:jc w:val="both"/>
        <w:textAlignment w:val="auto"/>
        <w:rPr>
          <w:rFonts w:hint="eastAsia" w:ascii="方正小标宋简体" w:hAnsi="仿宋" w:eastAsia="方正小标宋简体" w:cs="Times New Roman"/>
          <w:sz w:val="44"/>
          <w:szCs w:val="44"/>
          <w:lang w:val="en-US" w:eastAsia="zh-CN"/>
        </w:rPr>
      </w:pPr>
      <w:r>
        <w:rPr>
          <w:rFonts w:hint="eastAsia" w:ascii="方正小标宋简体" w:hAnsi="仿宋" w:eastAsia="方正小标宋简体" w:cs="Times New Roman"/>
          <w:sz w:val="44"/>
          <w:szCs w:val="44"/>
          <w:lang w:val="en-US" w:eastAsia="zh-CN"/>
        </w:rPr>
        <w:t>滨海新区2022年民营医院专项巡查行动</w:t>
      </w:r>
    </w:p>
    <w:p>
      <w:pPr>
        <w:keepNext w:val="0"/>
        <w:keepLines w:val="0"/>
        <w:pageBreakBefore w:val="0"/>
        <w:widowControl w:val="0"/>
        <w:kinsoku/>
        <w:wordWrap/>
        <w:overflowPunct/>
        <w:topLinePunct w:val="0"/>
        <w:autoSpaceDE/>
        <w:autoSpaceDN/>
        <w:bidi w:val="0"/>
        <w:adjustRightInd/>
        <w:snapToGrid/>
        <w:spacing w:line="560" w:lineRule="exact"/>
        <w:ind w:firstLine="3520" w:firstLineChars="800"/>
        <w:jc w:val="both"/>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仿宋" w:eastAsia="方正小标宋简体" w:cs="Times New Roman"/>
          <w:sz w:val="44"/>
          <w:szCs w:val="44"/>
          <w:lang w:val="en-US" w:eastAsia="zh-CN"/>
        </w:rPr>
        <w:t>工作方案</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为保障人民群众健康权益，维护良好医疗秩序，引导民营医院规范有序发展，促进民营医院提升服务能力和管理水平，保障医疗质量和医疗安全，结合“民营医院管理年”活动，制定本方案。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坚持以习近平新时代中国特色社会主义思想为指导，推进健康中国战略和健康天津建设，着力构建优质高效的医疗卫生服务体系，引导民营医院端正办医理念、规范执业行为，强化内部管理，加强行风建设，通过开展“民营医院专项巡查”行动，将民营医院纳入全行业管理范围，严厉打击漠视和损害人民群众健康权益的违法违规行为，推动民营医院与公立医院共同实现高质量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二、活动范围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滨海新区区域内各级各类民营医院，实现辖区内二级及以上民营医院和</w:t>
      </w:r>
      <w:r>
        <w:rPr>
          <w:rFonts w:hint="default" w:ascii="Times New Roman" w:hAnsi="Times New Roman" w:eastAsia="仿宋_GB2312" w:cs="Times New Roman"/>
          <w:sz w:val="32"/>
          <w:szCs w:val="32"/>
          <w:lang w:val="en-US" w:eastAsia="zh-CN"/>
        </w:rPr>
        <w:t>50</w:t>
      </w:r>
      <w:r>
        <w:rPr>
          <w:rFonts w:hint="eastAsia" w:ascii="仿宋_GB2312" w:hAnsi="仿宋_GB2312" w:eastAsia="仿宋_GB2312" w:cs="仿宋_GB2312"/>
          <w:sz w:val="32"/>
          <w:szCs w:val="32"/>
          <w:lang w:val="en-US" w:eastAsia="zh-CN"/>
        </w:rPr>
        <w:t>张床位以上民营医院全覆盖。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三、组织管理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卫生健康委医政医管室负责制定本辖区民营医院专项巡查行动具体实施方案，明确工作重点、组织分工、行动安排并组织开展巡查工作，对巡查发现的违法违规行为进行处理或移交相关部门处理，总结辖区巡查发现的问题，及时向市卫生健康委报告工作情况，同时，区卫生健康委负责指导辖区内各级各类民营医院做好日常监管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各级各类民营医院负责积极配合巡查工作，对照巡查内容全面开展自查自纠，主动加强管理，对发现的问题和隐患及时进行整改。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四、组织架构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区卫生健康委成立“新区民营医院专项巡查”行动领导小组，成员如下：</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3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组  长：邓为民    区卫生健康委党委书记、主任</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3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副组长：张  亮    区卫生健康委副主任</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刘明勇    区卫生健康委副主任</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3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成  员：窦克滨    区卫生健康委医政医管室主任</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刘洪新    区卫生健康委中医管理室主任</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陈为波    区卫生健康委疾病预防控制室主任</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张娟梅    区卫生健康委党建工作室主任</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张  舒    区卫生健康委财务审计室副主任</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李  强    区卫生健康委信息基建室负责人</w:t>
      </w:r>
    </w:p>
    <w:p>
      <w:pPr>
        <w:keepNext w:val="0"/>
        <w:keepLines w:val="0"/>
        <w:pageBreakBefore w:val="0"/>
        <w:widowControl w:val="0"/>
        <w:kinsoku/>
        <w:wordWrap/>
        <w:overflowPunct/>
        <w:topLinePunct w:val="0"/>
        <w:autoSpaceDE/>
        <w:autoSpaceDN/>
        <w:bidi w:val="0"/>
        <w:adjustRightInd/>
        <w:snapToGrid/>
        <w:spacing w:line="560" w:lineRule="exact"/>
        <w:ind w:firstLine="2240" w:firstLineChars="7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肖金萍    区卫生健康委执法监督室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巡查内容主要包括机构设置、规范执业、运行管理、疫情防控4个方面17条：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（一）医院规范设置情况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1.医院命名。</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巡查方式：实地查看、网络检索、调取医疗机构注册系统信息。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检查对象：医院医疗机构执业证书、医院网站和医院悬挂的标牌。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w:t>
      </w:r>
      <w:r>
        <w:rPr>
          <w:rFonts w:hint="default"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）医院名称是否符合规定；（</w:t>
      </w:r>
      <w:r>
        <w:rPr>
          <w:rFonts w:hint="default"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）医院使用的标识名称、宣传名称与执业证书的登记名称是否一致。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2.医院诊疗科目设置。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巡查方式：实地查看、调取医疗机构注册系统信息。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w:t>
      </w:r>
      <w:r>
        <w:rPr>
          <w:rFonts w:hint="default"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）医院实际执业地址与登记地址是否一致；（</w:t>
      </w:r>
      <w:r>
        <w:rPr>
          <w:rFonts w:hint="default"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）医院实际开设诊疗科目与登记科目是否一致；（</w:t>
      </w:r>
      <w:r>
        <w:rPr>
          <w:rFonts w:hint="default" w:ascii="Times New Roman" w:hAnsi="Times New Roman" w:eastAsia="仿宋_GB2312" w:cs="Times New Roman"/>
          <w:sz w:val="32"/>
          <w:szCs w:val="32"/>
          <w:lang w:val="en-US" w:eastAsia="zh-CN"/>
        </w:rPr>
        <w:t>3</w:t>
      </w:r>
      <w:r>
        <w:rPr>
          <w:rFonts w:hint="eastAsia" w:ascii="仿宋_GB2312" w:hAnsi="仿宋_GB2312" w:eastAsia="仿宋_GB2312" w:cs="仿宋_GB2312"/>
          <w:sz w:val="32"/>
          <w:szCs w:val="32"/>
          <w:lang w:val="en-US" w:eastAsia="zh-CN"/>
        </w:rPr>
        <w:t>）是否存在对外出租科室的情形。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3.医院设备设施。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巡查方式：实地查看、线索追踪。</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w:t>
      </w:r>
      <w:r>
        <w:rPr>
          <w:rFonts w:hint="default"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）医院实际开放床位数量是否符合相应的医疗机构基本标准；（</w:t>
      </w:r>
      <w:r>
        <w:rPr>
          <w:rFonts w:hint="default"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）医院是否对照医疗机构基本标准配备相应的设备设施，相关设备是否可用。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4.医院人员配备。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巡查方式：实地查看、线索追踪。</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具体项目：医疗机构人员配备是否符合相应的医疗机构设置基本标准。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（二）医院规范执业情况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5.人员资质。</w:t>
      </w:r>
    </w:p>
    <w:p>
      <w:pPr>
        <w:keepNext w:val="0"/>
        <w:keepLines w:val="0"/>
        <w:pageBreakBefore w:val="0"/>
        <w:widowControl w:val="0"/>
        <w:kinsoku/>
        <w:wordWrap/>
        <w:overflowPunct/>
        <w:topLinePunct w:val="0"/>
        <w:autoSpaceDE/>
        <w:autoSpaceDN/>
        <w:bidi w:val="0"/>
        <w:adjustRightInd/>
        <w:snapToGrid/>
        <w:spacing w:line="560" w:lineRule="exact"/>
        <w:ind w:left="320" w:hanging="320" w:hangingChars="1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巡查方式：实地查看，资料审查、调取医务人员注册系统信息、线索追踪。</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具体项目：抽查不低于</w:t>
      </w:r>
      <w:r>
        <w:rPr>
          <w:rFonts w:hint="default" w:ascii="Times New Roman" w:hAnsi="Times New Roman" w:eastAsia="仿宋_GB2312" w:cs="Times New Roman"/>
          <w:sz w:val="32"/>
          <w:szCs w:val="32"/>
          <w:lang w:val="en-US" w:eastAsia="zh-CN"/>
        </w:rPr>
        <w:t>50</w:t>
      </w:r>
      <w:r>
        <w:rPr>
          <w:rFonts w:hint="eastAsia" w:ascii="仿宋_GB2312" w:hAnsi="仿宋_GB2312" w:eastAsia="仿宋_GB2312" w:cs="仿宋_GB2312"/>
          <w:sz w:val="32"/>
          <w:szCs w:val="32"/>
          <w:lang w:val="en-US" w:eastAsia="zh-CN"/>
        </w:rPr>
        <w:t>人或不少于</w:t>
      </w:r>
      <w:r>
        <w:rPr>
          <w:rFonts w:hint="default" w:ascii="Times New Roman" w:hAnsi="Times New Roman" w:eastAsia="仿宋_GB2312" w:cs="Times New Roman"/>
          <w:sz w:val="32"/>
          <w:szCs w:val="32"/>
          <w:lang w:val="en-US" w:eastAsia="zh-CN"/>
        </w:rPr>
        <w:t>50</w:t>
      </w:r>
      <w:r>
        <w:rPr>
          <w:rFonts w:hint="eastAsia" w:ascii="仿宋_GB2312" w:hAnsi="仿宋_GB2312" w:eastAsia="仿宋_GB2312" w:cs="仿宋_GB2312"/>
          <w:sz w:val="32"/>
          <w:szCs w:val="32"/>
          <w:lang w:val="en-US" w:eastAsia="zh-CN"/>
        </w:rPr>
        <w:t>%的在职医务人员档案，查看相关人员是否具备相关职业资质，是否存在医务人员挂证、人员信息与实际情况不符等情形，登记医疗美容科的医疗机构中的主诊医师是否进行备案。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（医政医管室、中医管理室、疾病预防控制室、执法监督室依职责分别负责）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6.医疗技术临床应用情况。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巡查方式：资料审查、病历核查、线索追踪、实地查看、网络检索。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检查对象：医院管理部门、内部科室、病历资料、管理材料、技术目录、收费项目。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开展限制类技术临床应用并按要求备案；（2）医院是否开展或变相开展禁止类技术临床应用；（3）医院是否违规开展免疫细胞治疗、干细胞临床研究和治疗；（4）医院是否违规开展孕妇外周胎儿游离DNA产前筛查与诊断技术，人类辅助生殖技术；（5）医院是否组织或参与实施非法采供卵、代孕等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（医政医管室、中医管理室、疾病预防控制室、执法监督室依职责分别负责）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7.药品器械。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巡查方式：实地查看、病历核查、线索追踪、患者访谈、网络检索。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检查对象：医院内部科室、药房、病历资料、收费项目、医院患者。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具体项目：（1）医院是否以医疗名义推广销售所谓保健相关用品；（2）抽查药品、耗材，器械、设备是否在有效期，是否有假药、劣药；（3）毒、麻、精、放等特殊药品的安全管理是否到位。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8.服务行为。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巡查方式：病历核查、线索追踪、患者访谈、实地查看、网络检索。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检查对象：门诊、病历资料、收费项目、技术目录、医院患者。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存在以虚假诊断欺骗、诱使、强迫患者接受诊疗和消费等违法违规行为；（2）医院是否存在伪造医疗文书或票据的行为；（3）医院是否存在虚构医疗服务、巧立名目、虚构项目等情形；（4）医疗服务项目名称与实际开展服务是否一致；（5）医院是否存在过度诊疗、过度检查、过度用药等问题；（6）病历书写是否客观、真实、准确、及时、完整、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（三）医院运行管理情况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9.党建工作。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巡查方式：实地查看、资料审查。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落实将党建内容写入社会办医院章程；（2）医院是否建立党组织参与社会办医院决策管理制度；（3）医院是否落实“三会一课”、主题党日、组织生活会、民主评议党员等组织生活制度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（党建工作室依职责牵头，医政医管室、中医管理室、疾病预防控制室配合）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10.制度建设。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巡查方式：资料审查、病历核查。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检查对象：医院管理部门、处方材料、病历资料。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有医疗质量管理与控制工作制度、病历质量管理制度、医疗技术应用管理制度、抗菌药物分级管理制度、处方点评制度；（2）医院是否有医疗技术临床应用管理目录、手术分级管理目录、医师技术档案；（3）医院是否对本机构医疗质量（安全）不良事件及管理缺陷进行统计分析和持续改进；（4）医院是否建立针对心跳骤停、昏迷、跌倒等高风险意外事件的应急措施和救护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11.医院感染管理。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巡查方式：实地查看、资料审查。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检查对象：医院管理部门、相关科室或部门。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按规定设立或指定分管医院感染管理工作的部门；（2）手术室、血液透析室、重症监护室、新生儿病房、消毒供应室等重点部门的医院感染防控是否符合要求；（3）医疗器械的清洗、消毒、灭菌等重点环节的医院感染防控是否符合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12.院务公开。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检查对象：院务公开资料。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具体项目：（1）院务公开材料是否包括医院基本情况、服务信息、行业作风建设情况、患者就医须知；（2）药品、医用材料和医疗服务价格信息是否在显著位置可见。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（医政医管室、中医管理室、疾病预防控制室、财务审计室依职责分别负责）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13.互联网诊疗。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巡查方式：实地查看、网络检索、资料审查。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检查对象：医院管理部门、互联网医院系统。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互联网医院是否与市级监管平台进行对接；（2）是否实施了第三级及以上信息安全等级保护；（3）是否对开展互联网诊疗活动的医务人员进行了实名认证；（4）互联网诊疗活动是否做到全程留痕、可追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（信息基建室、医政医管室、中医管理室、疾病预防控制室、执法监督室依职责分别负责）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14.宣传行为。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巡查方式：实地查看、网络检索、资料审查、线索追踪。</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检查对象：医院管理部门、内部科室、医院网站（含公众号、微博、APP等）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在各种报刊、广播、地方电视台、网络、墙体、喷绘、广告牌、宣传单等媒介发布的医疗广告是否符合《医疗广告管理办法》规定，是否规范使用医疗机构名称并标注《医疗广告审查证明》文号；（2）医院在自建网站、公众号等自媒体上发布的宣传内容是否符合实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（医政医管室、中医管理室、疾病预防控制室依职责牵头，执法监督室配合）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15.行风建设。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巡查方式：资料审查、线索追踪、患者访谈。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检查对象：医院管理部门、内部科室、医院患者。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具体项目：（1）医院是否按照《医疗机构及其从业人员九项准则》建立院内行风管理制度；（2）是否存在收受、索要红包的现象；（3）医院是否建立投诉接待制度并及时处理投诉纠纷。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（医政医管室牵头、中医管理室、疾病预防控制室配合）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16.发热门诊设置。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巡查方式：实地查看、资料审查、员工访谈。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检查对象：发热门诊。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二级以上综合性民营医院是否开设发热门诊，发热门诊是否符合“三区两通道”要求；（2）发热门诊是否具备独立完成发热患者检验检测的条件；（3）抽查相关工作人员是否掌握发热患者处置流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17.疫情常态化防控措施。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巡查方式：实地查看、资料审查、员工访谈、患者访谈。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检查对象：发热门诊、门诊、内部科室、医院管理部门。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具体项目：（1）医院是否存在违规接诊发热患者的情形；（2）医院工作人员是否按要求规范使用防护装备；（3）消毒用品是否按要求配备到指定位置；（4）就医患者是否存在扎堆聚集现象；（5）住院患者是否持核酸检测阴性证明住院；（6）陪护人员是否相对固定、进行核酸筛查、不随意进出病房；（7）医院工作人员是否开展定期核酸检测和日常健康监测等；（8）医院诊室和病房是否开窗通风或设有新风系统，是否设置缓冲病房；（9）医院是否围绕新冠肺炎病例发现、报告、院感防控、医务人员个人防护等流程进行全员培训和演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（医政医管室、中医管理室、疾病预防控制室、执法监督室依职责分别负责）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六、实施步骤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（一）组织部署阶段（2022年4月）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国家卫生健康委2022年度全国民营医院专项巡查行动工作方案，依托天津市卫生健康委2022年度民营医院专项巡查行动工作方案，结合“民营医院管理年”等明确巡查工作安排，制定本区专项巡查行动方案，充分发挥社会监督的作用，在现有投诉举报渠道的基础上，借助12345等政务服务便民热线设立民营医院巡查线索收集邮箱（wjwyzc@tjbh.gov.cn),畅通民营医院专项巡查行动监督举报方式（举报电话65369023），广泛征集线索、认真调查核实，请各单位制定本单位专项巡查具体实施方案，明确工作重点、组织分工、活动安排、落实各项巡查行动内容。请于2022年5月20日前将实施方案及联络员名单报送至区卫健委医政医管室政务邮箱wjwyzc@tjbh.gov.cn。</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（二）自查自纠阶段（2022年4月-7月）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各级各类民营医院对照巡查内容进行全面自查自纠，对发现的问题和风险点即知即改，对自查发现严重问题且无法解决的，要主动停业整改或注销机构并向属地卫生健康行政部门和行政审批部门报告。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实地巡查阶段（2022年7月-11月）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第一阶段：区级实地巡查（2022年7月-9月）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卫生健康委组建巡查工作组，采用听取汇报、列席会议、查阅资料、调查访谈、实地查看、线索追踪等方式发现问题，及时研究解决。专项巡查范围要实现辖区内二级以上民营医院和50张床位以上民营医院全覆盖（附表1），其他民营医院至少覆盖20%。</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第二阶段：市级实地巡查（2022年9月-11月）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市卫生健康委依托医疗服务评价和指导中心、卫生健康监督所、质控中心等多方面力量组建巡查工作，采用“四不两直”的方式对各区专项巡查行动开展情况进行抽查，特别是对群众举报线索处理、既往交办任务完成情况进行检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仿宋_GB2312" w:hAnsi="仿宋_GB2312" w:eastAsia="仿宋_GB2312" w:cs="仿宋_GB2312"/>
          <w:sz w:val="32"/>
          <w:szCs w:val="32"/>
          <w:lang w:val="en-US" w:eastAsia="zh-CN"/>
        </w:rPr>
        <w:t>（</w:t>
      </w:r>
      <w:r>
        <w:rPr>
          <w:rFonts w:hint="eastAsia" w:ascii="楷体_GB2312" w:hAnsi="楷体_GB2312" w:eastAsia="楷体_GB2312" w:cs="楷体_GB2312"/>
          <w:sz w:val="32"/>
          <w:szCs w:val="32"/>
          <w:lang w:val="en-US" w:eastAsia="zh-CN"/>
        </w:rPr>
        <w:t>四）总结交流阶段（2022年12月-2023年2月）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请各单位对于巡查工作进行总结，于2022年11月15日之前报送至区卫生健康委政务邮箱（wjwyzc@tjbh.gov.cn），区卫生健康委将通报巡查发现的典型案例，提炼巡查工作经验，并将工作总结及巡查处理情况汇总表并报送至市卫生健康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七、工作要求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（一）切实提高认识，加强组织领导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各单位要加强组织领导、主动作为、细化措施、明确分工、     发挥合力，保障行动的顺利开展，区卫健委建立问责机制，对存  在不认真履行职责、失职、渎职等行为的主管部门和工作人员依纪依法依规严肃问责。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（二）聚焦突出问题，做到立行立改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各级各类民营医院要对照巡查方案提出的任务要求，全面加强院内管理并开展自查，查找工作中存在的主要不足和风险隐患，建立整改台账，坚持边查边改、立行立改。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（三）做好经验总结，探索长效机制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各级各类民营医院要对专项巡查行动工作情况进行及时总结，不断规范巡查工作程序，完善巡查工作制度和工作机制，通过巡查工作分析医院建设发展中存在的问题和薄弱环节，进一步优化医院管理长效机制。</w:t>
      </w:r>
    </w:p>
    <w:p>
      <w:pPr>
        <w:pStyle w:val="2"/>
        <w:rPr>
          <w:rFonts w:hint="eastAsia" w:ascii="仿宋_GB2312" w:hAnsi="仿宋_GB2312" w:eastAsia="仿宋_GB2312" w:cs="仿宋_GB2312"/>
          <w:sz w:val="32"/>
          <w:szCs w:val="32"/>
          <w:lang w:val="en-US" w:eastAsia="zh-CN"/>
        </w:rPr>
      </w:pPr>
    </w:p>
    <w:p>
      <w:pPr>
        <w:pStyle w:val="2"/>
        <w:ind w:left="0" w:leftChars="0" w:firstLine="640" w:firstLineChars="200"/>
        <w:rPr>
          <w:rFonts w:hint="default" w:ascii="仿宋_GB2312" w:hAnsi="仿宋_GB2312" w:eastAsia="仿宋_GB2312" w:cs="仿宋_GB2312"/>
          <w:b w:val="0"/>
          <w:bCs w:val="0"/>
          <w:kern w:val="2"/>
          <w:sz w:val="32"/>
          <w:szCs w:val="32"/>
          <w:lang w:val="en-US" w:eastAsia="zh-CN" w:bidi="ar-SA"/>
        </w:rPr>
      </w:pPr>
      <w:r>
        <w:rPr>
          <w:rFonts w:hint="default" w:ascii="仿宋_GB2312" w:hAnsi="仿宋_GB2312" w:eastAsia="仿宋_GB2312" w:cs="仿宋_GB2312"/>
          <w:b w:val="0"/>
          <w:bCs w:val="0"/>
          <w:kern w:val="2"/>
          <w:sz w:val="32"/>
          <w:szCs w:val="32"/>
          <w:lang w:val="en-US" w:eastAsia="zh-CN" w:bidi="ar-SA"/>
        </w:rPr>
        <w:t>（联系人：杨春艳，窦克滨；联系电话：653</w:t>
      </w:r>
      <w:r>
        <w:rPr>
          <w:rFonts w:hint="eastAsia" w:ascii="仿宋_GB2312" w:hAnsi="仿宋_GB2312" w:cs="仿宋_GB2312"/>
          <w:b w:val="0"/>
          <w:bCs w:val="0"/>
          <w:kern w:val="2"/>
          <w:sz w:val="32"/>
          <w:szCs w:val="32"/>
          <w:lang w:val="en-US" w:eastAsia="zh-CN" w:bidi="ar-SA"/>
        </w:rPr>
        <w:t>69023,65305853</w:t>
      </w:r>
      <w:r>
        <w:rPr>
          <w:rFonts w:hint="default" w:ascii="仿宋_GB2312" w:hAnsi="仿宋_GB2312" w:eastAsia="仿宋_GB2312" w:cs="仿宋_GB2312"/>
          <w:b w:val="0"/>
          <w:bCs w:val="0"/>
          <w:kern w:val="2"/>
          <w:sz w:val="32"/>
          <w:szCs w:val="32"/>
          <w:lang w:val="en-US" w:eastAsia="zh-CN" w:bidi="ar-SA"/>
        </w:rPr>
        <w:t>；</w:t>
      </w:r>
    </w:p>
    <w:p>
      <w:pPr>
        <w:pStyle w:val="2"/>
        <w:ind w:left="0" w:leftChars="0" w:firstLine="2880" w:firstLineChars="900"/>
        <w:rPr>
          <w:rFonts w:hint="default" w:ascii="仿宋_GB2312" w:hAnsi="仿宋_GB2312" w:eastAsia="仿宋_GB2312" w:cs="仿宋_GB2312"/>
          <w:b w:val="0"/>
          <w:bCs w:val="0"/>
          <w:kern w:val="2"/>
          <w:sz w:val="32"/>
          <w:szCs w:val="32"/>
          <w:lang w:val="en-US" w:eastAsia="zh-CN" w:bidi="ar-SA"/>
        </w:rPr>
      </w:pPr>
      <w:r>
        <w:rPr>
          <w:rFonts w:hint="default" w:ascii="仿宋_GB2312" w:hAnsi="仿宋_GB2312" w:eastAsia="仿宋_GB2312" w:cs="仿宋_GB2312"/>
          <w:b w:val="0"/>
          <w:bCs w:val="0"/>
          <w:kern w:val="2"/>
          <w:sz w:val="32"/>
          <w:szCs w:val="32"/>
          <w:lang w:val="en-US" w:eastAsia="zh-CN" w:bidi="ar-SA"/>
        </w:rPr>
        <w:t>政务邮箱：wjwyzc@tjbh.gov.cn）</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b w:val="0"/>
          <w:bCs w:val="0"/>
          <w:kern w:val="2"/>
          <w:sz w:val="32"/>
          <w:szCs w:val="32"/>
          <w:lang w:val="en-US" w:eastAsia="zh-CN" w:bidi="ar-SA"/>
        </w:rPr>
      </w:pPr>
    </w:p>
    <w:p>
      <w:pPr>
        <w:pStyle w:val="2"/>
        <w:rPr>
          <w:rFonts w:hint="eastAsia" w:eastAsia="仿宋_GB2312"/>
          <w:lang w:val="en-US" w:eastAsia="zh-CN"/>
        </w:rPr>
      </w:pPr>
      <w:r>
        <w:rPr>
          <w:rFonts w:hint="eastAsia" w:ascii="仿宋_GB2312" w:hAnsi="仿宋_GB2312" w:cs="仿宋_GB2312"/>
          <w:sz w:val="32"/>
          <w:szCs w:val="32"/>
          <w:lang w:val="en-US" w:eastAsia="zh-CN"/>
        </w:rPr>
        <w:t xml:space="preserve"> </w:t>
      </w:r>
    </w:p>
    <w:p>
      <w:pPr>
        <w:rPr>
          <w:rFonts w:hint="eastAsia"/>
        </w:rPr>
      </w:pPr>
      <w:r>
        <w:rPr>
          <w:rFonts w:hint="eastAsia" w:ascii="仿宋_GB2312" w:hAnsi="仿宋_GB2312" w:eastAsia="仿宋_GB2312" w:cs="仿宋_GB2312"/>
          <w:sz w:val="32"/>
          <w:szCs w:val="32"/>
          <w:lang w:val="en-US" w:eastAsia="zh-CN"/>
        </w:rPr>
        <w:t xml:space="preserve">  </w:t>
      </w:r>
      <w:bookmarkStart w:id="0" w:name="_GoBack"/>
      <w:bookmarkEnd w:id="0"/>
    </w:p>
    <w:sectPr>
      <w:footerReference r:id="rId3" w:type="default"/>
      <w:pgSz w:w="11906" w:h="16838"/>
      <w:pgMar w:top="1928" w:right="1474" w:bottom="1928" w:left="1587"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263223"/>
    <w:multiLevelType w:val="singleLevel"/>
    <w:tmpl w:val="F5263223"/>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6D843B16"/>
    <w:rsid w:val="01A84FC8"/>
    <w:rsid w:val="08CF67AA"/>
    <w:rsid w:val="09212671"/>
    <w:rsid w:val="09382BD6"/>
    <w:rsid w:val="095C5D9F"/>
    <w:rsid w:val="0D767AF9"/>
    <w:rsid w:val="0E0003C3"/>
    <w:rsid w:val="0E6832F0"/>
    <w:rsid w:val="0F2038E4"/>
    <w:rsid w:val="13BA1319"/>
    <w:rsid w:val="17C20BA9"/>
    <w:rsid w:val="1AA31E39"/>
    <w:rsid w:val="28C60A00"/>
    <w:rsid w:val="29821BA8"/>
    <w:rsid w:val="2B78193E"/>
    <w:rsid w:val="2BE40D3F"/>
    <w:rsid w:val="2D1F568C"/>
    <w:rsid w:val="2DCD2AB1"/>
    <w:rsid w:val="30FC500D"/>
    <w:rsid w:val="31E900D0"/>
    <w:rsid w:val="37621D17"/>
    <w:rsid w:val="38465F84"/>
    <w:rsid w:val="38AA1DD4"/>
    <w:rsid w:val="39960D93"/>
    <w:rsid w:val="409672FB"/>
    <w:rsid w:val="42DD68BE"/>
    <w:rsid w:val="49F11610"/>
    <w:rsid w:val="4C527F6F"/>
    <w:rsid w:val="4DCE2CDF"/>
    <w:rsid w:val="56805792"/>
    <w:rsid w:val="59343031"/>
    <w:rsid w:val="5A310C7B"/>
    <w:rsid w:val="5B1B6D02"/>
    <w:rsid w:val="5EF22D7B"/>
    <w:rsid w:val="600B2A7A"/>
    <w:rsid w:val="60C018E5"/>
    <w:rsid w:val="6152499D"/>
    <w:rsid w:val="624031A3"/>
    <w:rsid w:val="63B76FCF"/>
    <w:rsid w:val="66B35ADA"/>
    <w:rsid w:val="6737549F"/>
    <w:rsid w:val="6D843B16"/>
    <w:rsid w:val="72C6358E"/>
    <w:rsid w:val="7399049F"/>
    <w:rsid w:val="756E398C"/>
    <w:rsid w:val="770D249E"/>
    <w:rsid w:val="7BBA7B82"/>
    <w:rsid w:val="7DA006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0"/>
    <w:pPr>
      <w:snapToGrid w:val="0"/>
      <w:spacing w:line="560" w:lineRule="exact"/>
      <w:ind w:firstLine="200" w:firstLineChars="200"/>
      <w:outlineLvl w:val="2"/>
    </w:pPr>
    <w:rPr>
      <w:rFonts w:eastAsia="仿宋_GB2312"/>
      <w:b/>
      <w:bCs/>
      <w:kern w:val="0"/>
      <w:sz w:val="32"/>
      <w:szCs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08"/>
    </w:pPr>
    <w:rPr>
      <w:rFonts w:ascii="仿宋" w:hAnsi="仿宋" w:eastAsia="仿宋"/>
      <w:sz w:val="22"/>
      <w:szCs w:val="22"/>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character" w:styleId="8">
    <w:name w:val="Strong"/>
    <w:qFormat/>
    <w:uiPriority w:val="22"/>
    <w:rPr>
      <w:b/>
      <w:bCs/>
    </w:rPr>
  </w:style>
  <w:style w:type="character" w:styleId="9">
    <w:name w:val="page number"/>
    <w:basedOn w:val="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5414</Words>
  <Characters>5613</Characters>
  <Lines>0</Lines>
  <Paragraphs>0</Paragraphs>
  <TotalTime>23</TotalTime>
  <ScaleCrop>false</ScaleCrop>
  <LinksUpToDate>false</LinksUpToDate>
  <CharactersWithSpaces>5771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2021-11-26T08:16:00Z</dcterms:created>
  <dc:creator>窦克滨</dc:creator>
  <cp:lastModifiedBy>Administrator</cp:lastModifiedBy>
  <cp:lastPrinted>2022-06-29T08:34:00Z</cp:lastPrinted>
  <dcterms:modified xsi:type="dcterms:W3CDTF">2022-06-29T09:24:56Z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90F82B36EA6B468591AF9F9D394EFDFC</vt:lpwstr>
  </property>
</Properties>
</file>