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楷体_GB2312" w:hAnsi="楷体_GB2312" w:eastAsia="楷体_GB2312"/>
          <w:szCs w:val="32"/>
        </w:rPr>
      </w:pPr>
    </w:p>
    <w:p>
      <w:pPr>
        <w:spacing w:line="580" w:lineRule="exact"/>
        <w:rPr>
          <w:szCs w:val="32"/>
        </w:rPr>
      </w:pPr>
    </w:p>
    <w:p>
      <w:pPr>
        <w:spacing w:line="360" w:lineRule="exact"/>
        <w:jc w:val="center"/>
        <w:rPr>
          <w:rFonts w:hint="eastAsia" w:ascii="仿宋_GB2312" w:hAnsi="仿宋_GB2312" w:eastAsia="仿宋_GB2312" w:cs="仿宋_GB2312"/>
          <w:sz w:val="32"/>
          <w:szCs w:val="32"/>
        </w:rPr>
      </w:pPr>
      <w:bookmarkStart w:id="0" w:name="Wh"/>
      <w:r>
        <w:rPr>
          <w:rFonts w:hint="eastAsia" w:ascii="仿宋_GB2312" w:hAnsi="仿宋_GB2312" w:eastAsia="仿宋_GB2312" w:cs="仿宋_GB2312"/>
          <w:sz w:val="32"/>
          <w:szCs w:val="32"/>
        </w:rPr>
        <w:t>津</w:t>
      </w:r>
      <w:r>
        <w:rPr>
          <w:rFonts w:hint="eastAsia" w:ascii="仿宋_GB2312" w:hAnsi="仿宋_GB2312" w:eastAsia="仿宋_GB2312" w:cs="仿宋_GB2312"/>
          <w:sz w:val="32"/>
          <w:szCs w:val="32"/>
          <w:lang w:eastAsia="zh-CN"/>
        </w:rPr>
        <w:t>滨</w:t>
      </w:r>
      <w:r>
        <w:rPr>
          <w:rFonts w:hint="eastAsia" w:ascii="仿宋_GB2312" w:hAnsi="仿宋_GB2312" w:eastAsia="仿宋_GB2312" w:cs="仿宋_GB2312"/>
          <w:sz w:val="32"/>
          <w:szCs w:val="32"/>
        </w:rPr>
        <w:t>卫</w:t>
      </w:r>
      <w:r>
        <w:rPr>
          <w:rFonts w:hint="eastAsia" w:ascii="仿宋_GB2312" w:hAnsi="仿宋_GB2312" w:eastAsia="仿宋_GB2312" w:cs="仿宋_GB2312"/>
          <w:sz w:val="32"/>
          <w:szCs w:val="32"/>
          <w:lang w:eastAsia="zh-CN"/>
        </w:rPr>
        <w:t>疾控</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w:t>
      </w:r>
      <w:bookmarkEnd w:id="0"/>
    </w:p>
    <w:p>
      <w:pPr>
        <w:spacing w:line="580" w:lineRule="exact"/>
        <w:jc w:val="both"/>
        <w:rPr>
          <w:rFonts w:ascii="Times New Roman" w:hAnsi="Times New Roman" w:eastAsia="仿宋_GB2312"/>
          <w:b/>
          <w:sz w:val="44"/>
          <w:szCs w:val="44"/>
        </w:rPr>
      </w:pPr>
    </w:p>
    <w:p>
      <w:pPr>
        <w:jc w:val="center"/>
        <w:rPr>
          <w:rFonts w:hint="default" w:ascii="Times New Roman" w:hAnsi="Times New Roman" w:eastAsia="方正小标宋简体"/>
          <w:sz w:val="44"/>
          <w:szCs w:val="44"/>
        </w:rPr>
      </w:pPr>
      <w:bookmarkStart w:id="1" w:name="Bt"/>
      <w:r>
        <w:rPr>
          <w:rFonts w:hint="eastAsia" w:eastAsia="方正小标宋简体"/>
          <w:sz w:val="44"/>
          <w:szCs w:val="44"/>
          <w:lang w:eastAsia="zh-CN"/>
        </w:rPr>
        <w:t>区</w:t>
      </w:r>
      <w:r>
        <w:rPr>
          <w:rFonts w:hint="default" w:ascii="Times New Roman" w:hAnsi="Times New Roman" w:eastAsia="方正小标宋简体"/>
          <w:sz w:val="44"/>
          <w:szCs w:val="44"/>
        </w:rPr>
        <w:t>卫生健康委关于印发</w:t>
      </w:r>
      <w:r>
        <w:rPr>
          <w:rFonts w:hint="eastAsia" w:eastAsia="方正小标宋简体"/>
          <w:sz w:val="44"/>
          <w:szCs w:val="44"/>
          <w:lang w:eastAsia="zh-CN"/>
        </w:rPr>
        <w:t>滨海新区</w:t>
      </w:r>
      <w:r>
        <w:rPr>
          <w:rFonts w:hint="default" w:ascii="Times New Roman" w:hAnsi="Times New Roman" w:eastAsia="方正小标宋简体"/>
          <w:sz w:val="44"/>
          <w:szCs w:val="44"/>
        </w:rPr>
        <w:t>职业病</w:t>
      </w:r>
    </w:p>
    <w:p>
      <w:pPr>
        <w:jc w:val="center"/>
        <w:rPr>
          <w:rFonts w:ascii="Times New Roman" w:eastAsia="仿宋_GB2312"/>
          <w:sz w:val="44"/>
          <w:szCs w:val="44"/>
        </w:rPr>
      </w:pPr>
      <w:r>
        <w:rPr>
          <w:rFonts w:hint="default" w:ascii="Times New Roman" w:hAnsi="Times New Roman" w:eastAsia="方正小标宋简体"/>
          <w:sz w:val="44"/>
          <w:szCs w:val="44"/>
        </w:rPr>
        <w:t>危害专项治理工作方案的通知</w:t>
      </w:r>
      <w:bookmarkEnd w:id="1"/>
    </w:p>
    <w:p>
      <w:pPr>
        <w:jc w:val="center"/>
        <w:rPr>
          <w:rFonts w:ascii="Times New Roman" w:eastAsia="仿宋_GB2312"/>
          <w:sz w:val="32"/>
          <w:szCs w:val="32"/>
        </w:rPr>
      </w:pPr>
    </w:p>
    <w:p>
      <w:pPr>
        <w:spacing w:line="560" w:lineRule="exact"/>
        <w:jc w:val="both"/>
        <w:rPr>
          <w:rFonts w:hint="default" w:ascii="Times New Roman" w:hAnsi="Times New Roman" w:eastAsia="仿宋_GB2312" w:cs="Times New Roman"/>
          <w:color w:val="auto"/>
          <w:spacing w:val="-7"/>
          <w:sz w:val="32"/>
          <w:szCs w:val="32"/>
        </w:rPr>
      </w:pPr>
      <w:r>
        <w:rPr>
          <w:rFonts w:hint="eastAsia" w:ascii="Times New Roman" w:hAnsi="Times New Roman" w:eastAsia="仿宋_GB2312" w:cs="Times New Roman"/>
          <w:color w:val="auto"/>
          <w:spacing w:val="-7"/>
          <w:sz w:val="32"/>
          <w:szCs w:val="32"/>
          <w:lang w:eastAsia="zh-CN"/>
        </w:rPr>
        <w:t>泰达街、各开发区卫生健康管理部门，区卫生计生综合监督所、</w:t>
      </w:r>
      <w:r>
        <w:rPr>
          <w:rFonts w:hint="eastAsia" w:ascii="Times New Roman" w:hAnsi="Times New Roman" w:eastAsia="仿宋_GB2312" w:cs="Times New Roman"/>
          <w:color w:val="auto"/>
          <w:spacing w:val="-7"/>
          <w:sz w:val="32"/>
          <w:szCs w:val="32"/>
          <w:lang w:val="en-US" w:eastAsia="zh-CN"/>
        </w:rPr>
        <w:t>区疾病预防控制中心、</w:t>
      </w:r>
      <w:r>
        <w:rPr>
          <w:rFonts w:hint="eastAsia" w:ascii="Times New Roman" w:hAnsi="Times New Roman" w:eastAsia="仿宋_GB2312" w:cs="Times New Roman"/>
          <w:color w:val="auto"/>
          <w:spacing w:val="-7"/>
          <w:sz w:val="32"/>
          <w:szCs w:val="32"/>
          <w:lang w:eastAsia="zh-CN"/>
        </w:rPr>
        <w:t>各职业</w:t>
      </w:r>
      <w:r>
        <w:rPr>
          <w:rFonts w:hint="eastAsia" w:eastAsia="仿宋_GB2312" w:cs="Times New Roman"/>
          <w:color w:val="auto"/>
          <w:spacing w:val="-7"/>
          <w:sz w:val="32"/>
          <w:szCs w:val="32"/>
          <w:lang w:eastAsia="zh-CN"/>
        </w:rPr>
        <w:t>卫生</w:t>
      </w:r>
      <w:r>
        <w:rPr>
          <w:rFonts w:hint="eastAsia" w:ascii="Times New Roman" w:hAnsi="Times New Roman" w:eastAsia="仿宋_GB2312" w:cs="Times New Roman"/>
          <w:color w:val="auto"/>
          <w:spacing w:val="-7"/>
          <w:sz w:val="32"/>
          <w:szCs w:val="32"/>
          <w:lang w:eastAsia="zh-CN"/>
        </w:rPr>
        <w:t>技术服务机构</w:t>
      </w:r>
      <w:r>
        <w:rPr>
          <w:rFonts w:hint="default" w:ascii="Times New Roman" w:hAnsi="Times New Roman" w:eastAsia="仿宋_GB2312" w:cs="Times New Roman"/>
          <w:color w:val="auto"/>
          <w:spacing w:val="-7"/>
          <w:sz w:val="32"/>
          <w:szCs w:val="32"/>
        </w:rPr>
        <w:t>：</w:t>
      </w:r>
    </w:p>
    <w:p>
      <w:pPr>
        <w:spacing w:line="560" w:lineRule="exact"/>
        <w:ind w:firstLine="584" w:firstLineChars="191"/>
        <w:jc w:val="both"/>
        <w:rPr>
          <w:rFonts w:hint="default" w:ascii="Times New Roman" w:hAnsi="Times New Roman" w:eastAsia="仿宋_GB2312" w:cs="Times New Roman"/>
          <w:color w:val="auto"/>
          <w:spacing w:val="0"/>
          <w:kern w:val="2"/>
          <w:sz w:val="32"/>
          <w:szCs w:val="32"/>
          <w:lang w:val="en-US" w:eastAsia="zh-CN" w:bidi="zh-CN"/>
        </w:rPr>
      </w:pPr>
      <w:r>
        <w:rPr>
          <w:rFonts w:hint="default" w:ascii="Times New Roman" w:hAnsi="Times New Roman" w:eastAsia="仿宋_GB2312" w:cs="Times New Roman"/>
          <w:color w:val="auto"/>
          <w:spacing w:val="-7"/>
          <w:sz w:val="32"/>
          <w:szCs w:val="32"/>
          <w:lang w:val="zh-CN" w:eastAsia="zh-CN"/>
        </w:rPr>
        <w:t>为贯彻落实《市卫生健康委关于印发天津市职业病危害专项治理工作方案的通知》（</w:t>
      </w:r>
      <w:r>
        <w:rPr>
          <w:rFonts w:hint="eastAsia" w:ascii="Times New Roman" w:hAnsi="Times New Roman" w:eastAsia="仿宋_GB2312" w:cs="Times New Roman"/>
          <w:color w:val="auto"/>
          <w:spacing w:val="-7"/>
          <w:sz w:val="32"/>
          <w:szCs w:val="32"/>
          <w:lang w:val="zh-CN" w:eastAsia="zh-CN"/>
        </w:rPr>
        <w:t>津</w:t>
      </w:r>
      <w:r>
        <w:rPr>
          <w:rFonts w:hint="default" w:ascii="Times New Roman" w:hAnsi="Times New Roman" w:eastAsia="仿宋_GB2312" w:cs="Times New Roman"/>
          <w:color w:val="auto"/>
          <w:spacing w:val="-7"/>
          <w:sz w:val="32"/>
          <w:szCs w:val="32"/>
          <w:lang w:val="zh-CN" w:eastAsia="zh-CN"/>
        </w:rPr>
        <w:t>卫职健〔202</w:t>
      </w:r>
      <w:r>
        <w:rPr>
          <w:rFonts w:hint="eastAsia" w:ascii="Times New Roman" w:hAnsi="Times New Roman" w:eastAsia="仿宋_GB2312" w:cs="Times New Roman"/>
          <w:color w:val="auto"/>
          <w:spacing w:val="-7"/>
          <w:sz w:val="32"/>
          <w:szCs w:val="32"/>
          <w:lang w:val="en-US" w:eastAsia="zh-CN"/>
        </w:rPr>
        <w:t>2</w:t>
      </w:r>
      <w:r>
        <w:rPr>
          <w:rFonts w:hint="default" w:ascii="Times New Roman" w:hAnsi="Times New Roman" w:eastAsia="仿宋_GB2312" w:cs="Times New Roman"/>
          <w:color w:val="auto"/>
          <w:spacing w:val="-7"/>
          <w:sz w:val="32"/>
          <w:szCs w:val="32"/>
          <w:lang w:val="zh-CN" w:eastAsia="zh-CN"/>
        </w:rPr>
        <w:t>〕</w:t>
      </w:r>
      <w:r>
        <w:rPr>
          <w:rFonts w:hint="eastAsia" w:ascii="Times New Roman" w:hAnsi="Times New Roman" w:eastAsia="仿宋_GB2312" w:cs="Times New Roman"/>
          <w:color w:val="auto"/>
          <w:spacing w:val="-7"/>
          <w:sz w:val="32"/>
          <w:szCs w:val="32"/>
          <w:lang w:val="en-US" w:eastAsia="zh-CN"/>
        </w:rPr>
        <w:t>178</w:t>
      </w:r>
      <w:r>
        <w:rPr>
          <w:rFonts w:hint="default" w:ascii="Times New Roman" w:hAnsi="Times New Roman" w:eastAsia="仿宋_GB2312" w:cs="Times New Roman"/>
          <w:color w:val="auto"/>
          <w:spacing w:val="-7"/>
          <w:sz w:val="32"/>
          <w:szCs w:val="32"/>
          <w:lang w:val="zh-CN" w:eastAsia="zh-CN"/>
        </w:rPr>
        <w:t>号）的要求，经研究，决定自</w:t>
      </w:r>
      <w:r>
        <w:rPr>
          <w:rFonts w:hint="default" w:ascii="Times New Roman" w:hAnsi="Times New Roman" w:eastAsia="仿宋_GB2312" w:cs="Times New Roman"/>
          <w:color w:val="auto"/>
          <w:spacing w:val="-7"/>
          <w:sz w:val="32"/>
          <w:szCs w:val="32"/>
          <w:lang w:val="en-US" w:eastAsia="zh-CN"/>
        </w:rPr>
        <w:t>2022年3月起至2025年11月在全</w:t>
      </w:r>
      <w:r>
        <w:rPr>
          <w:rFonts w:hint="eastAsia" w:ascii="Times New Roman" w:hAnsi="Times New Roman" w:eastAsia="仿宋_GB2312" w:cs="Times New Roman"/>
          <w:color w:val="auto"/>
          <w:spacing w:val="-7"/>
          <w:sz w:val="32"/>
          <w:szCs w:val="32"/>
          <w:lang w:val="en-US" w:eastAsia="zh-CN"/>
        </w:rPr>
        <w:t>区</w:t>
      </w:r>
      <w:r>
        <w:rPr>
          <w:rFonts w:hint="default" w:ascii="Times New Roman" w:hAnsi="Times New Roman" w:eastAsia="仿宋_GB2312" w:cs="Times New Roman"/>
          <w:color w:val="auto"/>
          <w:spacing w:val="-7"/>
          <w:sz w:val="32"/>
          <w:szCs w:val="32"/>
          <w:lang w:val="en-US" w:eastAsia="zh-CN"/>
        </w:rPr>
        <w:t>范围内深入开展职业病危害专项治理工作。现将《</w:t>
      </w:r>
      <w:r>
        <w:rPr>
          <w:rFonts w:hint="eastAsia" w:ascii="Times New Roman" w:hAnsi="Times New Roman" w:eastAsia="仿宋_GB2312" w:cs="Times New Roman"/>
          <w:color w:val="auto"/>
          <w:spacing w:val="-7"/>
          <w:sz w:val="32"/>
          <w:szCs w:val="32"/>
          <w:lang w:val="en-US" w:eastAsia="zh-CN"/>
        </w:rPr>
        <w:t>滨海新区</w:t>
      </w:r>
      <w:r>
        <w:rPr>
          <w:rFonts w:hint="default" w:ascii="Times New Roman" w:hAnsi="Times New Roman" w:eastAsia="仿宋_GB2312" w:cs="Times New Roman"/>
          <w:color w:val="auto"/>
          <w:spacing w:val="-7"/>
          <w:sz w:val="32"/>
          <w:szCs w:val="32"/>
          <w:lang w:val="en-US" w:eastAsia="zh-CN"/>
        </w:rPr>
        <w:t>职业病危害专项治理工作方案》印发给你们，请认真</w:t>
      </w:r>
      <w:r>
        <w:rPr>
          <w:rFonts w:hint="eastAsia" w:ascii="Times New Roman" w:hAnsi="Times New Roman" w:eastAsia="仿宋_GB2312" w:cs="Times New Roman"/>
          <w:color w:val="auto"/>
          <w:spacing w:val="-7"/>
          <w:sz w:val="32"/>
          <w:szCs w:val="32"/>
          <w:lang w:val="en-US" w:eastAsia="zh-CN"/>
        </w:rPr>
        <w:t>遵照执行</w:t>
      </w:r>
      <w:r>
        <w:rPr>
          <w:rFonts w:hint="default" w:ascii="Times New Roman" w:hAnsi="Times New Roman" w:eastAsia="仿宋_GB2312" w:cs="Times New Roman"/>
          <w:color w:val="auto"/>
          <w:spacing w:val="-7"/>
          <w:sz w:val="32"/>
          <w:szCs w:val="32"/>
          <w:lang w:val="en-US" w:eastAsia="zh-CN"/>
        </w:rPr>
        <w:t xml:space="preserve">。 </w:t>
      </w:r>
      <w:r>
        <w:rPr>
          <w:rFonts w:hint="default" w:ascii="Times New Roman" w:hAnsi="Times New Roman" w:eastAsia="仿宋_GB2312" w:cs="Times New Roman"/>
          <w:color w:val="auto"/>
          <w:spacing w:val="0"/>
          <w:kern w:val="2"/>
          <w:sz w:val="32"/>
          <w:szCs w:val="32"/>
          <w:lang w:val="en-US" w:eastAsia="zh-CN" w:bidi="zh-CN"/>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color w:val="auto"/>
          <w:spacing w:val="0"/>
          <w:kern w:val="2"/>
          <w:sz w:val="32"/>
          <w:szCs w:val="32"/>
          <w:lang w:val="en-US" w:eastAsia="zh-CN" w:bidi="zh-CN"/>
        </w:rPr>
      </w:pPr>
      <w:r>
        <w:rPr>
          <w:rFonts w:hint="default" w:ascii="Times New Roman" w:hAnsi="Times New Roman" w:eastAsia="仿宋_GB2312" w:cs="Times New Roman"/>
          <w:color w:val="auto"/>
          <w:spacing w:val="0"/>
          <w:kern w:val="2"/>
          <w:sz w:val="32"/>
          <w:szCs w:val="32"/>
          <w:lang w:val="en-US" w:eastAsia="zh-CN" w:bidi="zh-CN"/>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color w:val="auto"/>
          <w:spacing w:val="0"/>
          <w:kern w:val="2"/>
          <w:sz w:val="32"/>
          <w:szCs w:val="32"/>
          <w:lang w:val="en-US" w:eastAsia="zh-CN" w:bidi="zh-CN"/>
        </w:rPr>
      </w:pPr>
    </w:p>
    <w:p>
      <w:pPr>
        <w:pStyle w:val="12"/>
        <w:spacing w:line="560" w:lineRule="exact"/>
        <w:ind w:firstLine="0" w:firstLineChars="0"/>
        <w:jc w:val="both"/>
        <w:rPr>
          <w:rFonts w:hint="default" w:ascii="Times New Roman" w:hAnsi="Times New Roman" w:eastAsia="仿宋_GB2312" w:cs="Times New Roman"/>
          <w:color w:val="auto"/>
          <w:spacing w:val="0"/>
          <w:sz w:val="32"/>
          <w:szCs w:val="32"/>
          <w:lang w:val="en-US" w:eastAsia="zh-CN"/>
        </w:rPr>
      </w:pPr>
    </w:p>
    <w:p>
      <w:pPr>
        <w:pStyle w:val="12"/>
        <w:spacing w:line="560" w:lineRule="exact"/>
        <w:ind w:firstLine="5120" w:firstLineChars="1600"/>
        <w:jc w:val="both"/>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2022年</w:t>
      </w:r>
      <w:r>
        <w:rPr>
          <w:rFonts w:hint="eastAsia"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月</w:t>
      </w:r>
      <w:r>
        <w:rPr>
          <w:rFonts w:hint="eastAsia" w:ascii="Times New Roman" w:hAnsi="Times New Roman" w:eastAsia="仿宋_GB2312" w:cs="Times New Roman"/>
          <w:color w:val="auto"/>
          <w:spacing w:val="0"/>
          <w:sz w:val="32"/>
          <w:szCs w:val="32"/>
          <w:lang w:val="en-US" w:eastAsia="zh-CN"/>
        </w:rPr>
        <w:t>24</w:t>
      </w:r>
      <w:r>
        <w:rPr>
          <w:rFonts w:hint="default" w:ascii="Times New Roman" w:hAnsi="Times New Roman" w:eastAsia="仿宋_GB2312" w:cs="Times New Roman"/>
          <w:color w:val="auto"/>
          <w:spacing w:val="0"/>
          <w:sz w:val="32"/>
          <w:szCs w:val="32"/>
        </w:rPr>
        <w:t>日</w:t>
      </w:r>
    </w:p>
    <w:p>
      <w:pPr>
        <w:pStyle w:val="12"/>
        <w:spacing w:line="440" w:lineRule="exact"/>
        <w:ind w:left="0" w:leftChars="0" w:firstLine="0" w:firstLineChars="0"/>
        <w:jc w:val="left"/>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 xml:space="preserve">     （此件</w:t>
      </w:r>
      <w:r>
        <w:rPr>
          <w:rFonts w:hint="default" w:ascii="Times New Roman" w:hAnsi="Times New Roman" w:eastAsia="仿宋_GB2312" w:cs="Times New Roman"/>
          <w:color w:val="auto"/>
          <w:spacing w:val="0"/>
          <w:sz w:val="32"/>
          <w:szCs w:val="32"/>
          <w:lang w:eastAsia="zh-CN"/>
        </w:rPr>
        <w:t>主动公开）</w:t>
      </w:r>
      <w:r>
        <w:rPr>
          <w:rFonts w:hint="default" w:ascii="Times New Roman" w:hAnsi="Times New Roman" w:eastAsia="仿宋_GB2312" w:cs="Times New Roman"/>
          <w:color w:val="auto"/>
          <w:spacing w:val="0"/>
          <w:sz w:val="32"/>
          <w:szCs w:val="32"/>
        </w:rPr>
        <w:t xml:space="preserve">    </w:t>
      </w:r>
    </w:p>
    <w:p>
      <w:pPr>
        <w:pStyle w:val="12"/>
        <w:spacing w:line="440" w:lineRule="exact"/>
        <w:ind w:left="0" w:leftChars="0" w:firstLine="0" w:firstLineChars="0"/>
        <w:jc w:val="left"/>
        <w:rPr>
          <w:rFonts w:hint="default" w:ascii="Times New Roman" w:hAnsi="Times New Roman" w:eastAsia="仿宋_GB2312" w:cs="Times New Roman"/>
          <w:color w:val="auto"/>
          <w:spacing w:val="0"/>
          <w:sz w:val="32"/>
          <w:szCs w:val="32"/>
        </w:rPr>
      </w:pPr>
    </w:p>
    <w:p>
      <w:pPr>
        <w:pStyle w:val="12"/>
        <w:spacing w:line="440" w:lineRule="exact"/>
        <w:ind w:left="0" w:leftChars="0" w:firstLine="0" w:firstLineChars="0"/>
        <w:jc w:val="left"/>
        <w:rPr>
          <w:rFonts w:hint="default" w:ascii="Times New Roman" w:hAnsi="Times New Roman" w:eastAsia="仿宋_GB2312" w:cs="Times New Roman"/>
          <w:color w:val="auto"/>
          <w:spacing w:val="0"/>
          <w:sz w:val="32"/>
          <w:szCs w:val="32"/>
        </w:rPr>
      </w:pPr>
    </w:p>
    <w:p>
      <w:pPr>
        <w:pStyle w:val="12"/>
        <w:spacing w:line="440" w:lineRule="exact"/>
        <w:ind w:left="0" w:leftChars="0" w:firstLine="0" w:firstLineChars="0"/>
        <w:jc w:val="left"/>
        <w:rPr>
          <w:rFonts w:hint="default" w:ascii="Times New Roman" w:hAnsi="Times New Roman" w:eastAsia="仿宋_GB2312" w:cs="Times New Roman"/>
          <w:color w:val="auto"/>
          <w:spacing w:val="0"/>
          <w:sz w:val="32"/>
          <w:szCs w:val="32"/>
        </w:rPr>
      </w:pPr>
    </w:p>
    <w:p>
      <w:pPr>
        <w:pStyle w:val="12"/>
        <w:spacing w:line="440" w:lineRule="exact"/>
        <w:ind w:left="0" w:leftChars="0" w:firstLine="0" w:firstLineChars="0"/>
        <w:jc w:val="left"/>
        <w:rPr>
          <w:rFonts w:hint="default" w:ascii="Times New Roman" w:hAnsi="Times New Roman" w:eastAsia="仿宋_GB2312" w:cs="Times New Roman"/>
          <w:color w:val="auto"/>
          <w:spacing w:val="0"/>
          <w:sz w:val="32"/>
          <w:szCs w:val="32"/>
        </w:rPr>
      </w:pPr>
    </w:p>
    <w:p>
      <w:pPr>
        <w:pStyle w:val="12"/>
        <w:spacing w:line="440" w:lineRule="exact"/>
        <w:ind w:left="0" w:leftChars="0" w:firstLine="0" w:firstLineChars="0"/>
        <w:jc w:val="left"/>
        <w:rPr>
          <w:rFonts w:hint="default" w:ascii="Times New Roman" w:hAnsi="Times New Roman" w:eastAsia="仿宋_GB2312" w:cs="Times New Roman"/>
          <w:color w:val="auto"/>
          <w:spacing w:val="0"/>
          <w:sz w:val="32"/>
          <w:szCs w:val="32"/>
        </w:rPr>
      </w:pPr>
    </w:p>
    <w:p>
      <w:pPr>
        <w:pStyle w:val="12"/>
        <w:spacing w:line="440" w:lineRule="exact"/>
        <w:ind w:left="0" w:leftChars="0" w:firstLine="0" w:firstLineChars="0"/>
        <w:jc w:val="left"/>
        <w:rPr>
          <w:rFonts w:hint="default" w:ascii="Times New Roman" w:hAnsi="Times New Roman" w:eastAsia="仿宋_GB2312" w:cs="Times New Roman"/>
          <w:color w:val="auto"/>
          <w:spacing w:val="0"/>
          <w:sz w:val="32"/>
          <w:szCs w:val="32"/>
        </w:rPr>
      </w:pP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方正小标宋简体" w:cs="Times New Roman"/>
          <w:color w:val="auto"/>
          <w:spacing w:val="-1"/>
          <w:position w:val="15"/>
          <w:sz w:val="44"/>
          <w:szCs w:val="44"/>
        </w:rPr>
      </w:pPr>
      <w:r>
        <w:rPr>
          <w:rFonts w:hint="eastAsia" w:ascii="Times New Roman" w:hAnsi="Times New Roman" w:eastAsia="方正小标宋简体" w:cs="Times New Roman"/>
          <w:color w:val="auto"/>
          <w:spacing w:val="-1"/>
          <w:position w:val="15"/>
          <w:sz w:val="44"/>
          <w:szCs w:val="44"/>
          <w:lang w:eastAsia="zh-CN"/>
        </w:rPr>
        <w:t>滨海新区</w:t>
      </w:r>
      <w:r>
        <w:rPr>
          <w:rFonts w:hint="default" w:ascii="Times New Roman" w:hAnsi="Times New Roman" w:eastAsia="方正小标宋简体" w:cs="Times New Roman"/>
          <w:color w:val="auto"/>
          <w:spacing w:val="-1"/>
          <w:position w:val="15"/>
          <w:sz w:val="44"/>
          <w:szCs w:val="44"/>
        </w:rPr>
        <w:t>职业病危害专项治理工作方案</w:t>
      </w:r>
    </w:p>
    <w:p>
      <w:pPr>
        <w:spacing w:line="560" w:lineRule="exact"/>
        <w:ind w:firstLine="0" w:firstLineChars="0"/>
        <w:jc w:val="both"/>
        <w:rPr>
          <w:rFonts w:ascii="Times New Roman" w:hAnsi="Times New Roman" w:eastAsia="仿宋" w:cs="Times New Roman"/>
          <w:color w:val="auto"/>
          <w:spacing w:val="7"/>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sz w:val="32"/>
          <w:szCs w:val="32"/>
          <w:lang w:eastAsia="zh-CN"/>
        </w:rPr>
      </w:pPr>
      <w:r>
        <w:rPr>
          <w:rFonts w:hint="default" w:ascii="Times New Roman" w:hAnsi="Times New Roman" w:eastAsia="仿宋_GB2312" w:cs="Times New Roman"/>
          <w:color w:val="auto"/>
          <w:spacing w:val="-7"/>
          <w:sz w:val="32"/>
          <w:szCs w:val="32"/>
        </w:rPr>
        <w:t>为</w:t>
      </w:r>
      <w:r>
        <w:rPr>
          <w:rFonts w:hint="eastAsia" w:ascii="Times New Roman" w:hAnsi="Times New Roman" w:eastAsia="仿宋_GB2312" w:cs="Times New Roman"/>
          <w:color w:val="auto"/>
          <w:spacing w:val="-7"/>
          <w:sz w:val="32"/>
          <w:szCs w:val="32"/>
          <w:lang w:eastAsia="zh-CN"/>
        </w:rPr>
        <w:t>进一步</w:t>
      </w:r>
      <w:r>
        <w:rPr>
          <w:rFonts w:hint="default" w:ascii="Times New Roman" w:hAnsi="Times New Roman" w:eastAsia="仿宋_GB2312" w:cs="Times New Roman"/>
          <w:color w:val="auto"/>
          <w:spacing w:val="-7"/>
          <w:sz w:val="32"/>
          <w:szCs w:val="32"/>
        </w:rPr>
        <w:t>巩固重点行业职业病危害治理和尘肺病防治攻坚行动成果，</w:t>
      </w:r>
      <w:r>
        <w:rPr>
          <w:rFonts w:hint="eastAsia" w:ascii="Times New Roman" w:hAnsi="Times New Roman" w:eastAsia="仿宋_GB2312" w:cs="Times New Roman"/>
          <w:color w:val="auto"/>
          <w:spacing w:val="-7"/>
          <w:sz w:val="32"/>
          <w:szCs w:val="32"/>
          <w:lang w:eastAsia="zh-CN"/>
        </w:rPr>
        <w:t>深入</w:t>
      </w:r>
      <w:r>
        <w:rPr>
          <w:rFonts w:hint="default" w:ascii="Times New Roman" w:hAnsi="Times New Roman" w:eastAsia="仿宋_GB2312" w:cs="Times New Roman"/>
          <w:color w:val="auto"/>
          <w:spacing w:val="-7"/>
          <w:sz w:val="32"/>
          <w:szCs w:val="32"/>
        </w:rPr>
        <w:t>推进</w:t>
      </w:r>
      <w:r>
        <w:rPr>
          <w:rFonts w:hint="default" w:ascii="Times New Roman" w:hAnsi="Times New Roman"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rPr>
        <w:t>十四五”时期职业病防治工作</w:t>
      </w:r>
      <w:r>
        <w:rPr>
          <w:rFonts w:hint="eastAsia" w:ascii="Times New Roman" w:hAnsi="Times New Roman" w:eastAsia="仿宋_GB2312" w:cs="Times New Roman"/>
          <w:color w:val="auto"/>
          <w:spacing w:val="-7"/>
          <w:sz w:val="32"/>
          <w:szCs w:val="32"/>
          <w:lang w:eastAsia="zh-CN"/>
        </w:rPr>
        <w:t>开展</w:t>
      </w:r>
      <w:r>
        <w:rPr>
          <w:rFonts w:hint="default" w:ascii="Times New Roman" w:hAnsi="Times New Roman" w:eastAsia="仿宋_GB2312" w:cs="Times New Roman"/>
          <w:color w:val="auto"/>
          <w:spacing w:val="-7"/>
          <w:sz w:val="32"/>
          <w:szCs w:val="32"/>
        </w:rPr>
        <w:t>，切实保障广大劳动者职业健康权益，</w:t>
      </w:r>
      <w:r>
        <w:rPr>
          <w:rFonts w:hint="eastAsia" w:ascii="Times New Roman" w:hAnsi="Times New Roman" w:eastAsia="仿宋_GB2312" w:cs="Times New Roman"/>
          <w:color w:val="auto"/>
          <w:spacing w:val="-7"/>
          <w:sz w:val="32"/>
          <w:szCs w:val="32"/>
          <w:lang w:eastAsia="zh-CN"/>
        </w:rPr>
        <w:t>根据天津市</w:t>
      </w:r>
      <w:r>
        <w:rPr>
          <w:rFonts w:hint="default" w:ascii="Times New Roman" w:hAnsi="Times New Roman" w:eastAsia="仿宋_GB2312" w:cs="Times New Roman"/>
          <w:color w:val="auto"/>
          <w:spacing w:val="-7"/>
          <w:sz w:val="32"/>
          <w:szCs w:val="32"/>
          <w:lang w:val="en-US" w:eastAsia="zh-CN"/>
        </w:rPr>
        <w:t>职业病危害专项治理工作</w:t>
      </w:r>
      <w:r>
        <w:rPr>
          <w:rFonts w:hint="eastAsia" w:ascii="Times New Roman" w:hAnsi="Times New Roman" w:eastAsia="仿宋_GB2312" w:cs="Times New Roman"/>
          <w:color w:val="auto"/>
          <w:spacing w:val="-7"/>
          <w:sz w:val="32"/>
          <w:szCs w:val="32"/>
          <w:lang w:val="en-US" w:eastAsia="zh-CN"/>
        </w:rPr>
        <w:t>安排，</w:t>
      </w:r>
      <w:r>
        <w:rPr>
          <w:rFonts w:hint="eastAsia" w:ascii="Times New Roman" w:hAnsi="Times New Roman" w:eastAsia="仿宋_GB2312" w:cs="Times New Roman"/>
          <w:color w:val="auto"/>
          <w:spacing w:val="-7"/>
          <w:sz w:val="32"/>
          <w:szCs w:val="32"/>
          <w:lang w:eastAsia="zh-CN"/>
        </w:rPr>
        <w:t>区</w:t>
      </w:r>
      <w:r>
        <w:rPr>
          <w:rFonts w:hint="default" w:ascii="Times New Roman" w:hAnsi="Times New Roman" w:eastAsia="仿宋_GB2312" w:cs="Times New Roman"/>
          <w:color w:val="auto"/>
          <w:spacing w:val="-7"/>
          <w:sz w:val="32"/>
          <w:szCs w:val="32"/>
        </w:rPr>
        <w:t>卫生健康委决定自2022年3月起至2025年11月在全</w:t>
      </w:r>
      <w:r>
        <w:rPr>
          <w:rFonts w:hint="eastAsia" w:ascii="Times New Roman" w:hAnsi="Times New Roman" w:eastAsia="仿宋_GB2312" w:cs="Times New Roman"/>
          <w:color w:val="auto"/>
          <w:spacing w:val="-7"/>
          <w:sz w:val="32"/>
          <w:szCs w:val="32"/>
          <w:lang w:eastAsia="zh-CN"/>
        </w:rPr>
        <w:t>区</w:t>
      </w:r>
      <w:r>
        <w:rPr>
          <w:rFonts w:hint="default" w:ascii="Times New Roman" w:hAnsi="Times New Roman" w:eastAsia="仿宋_GB2312" w:cs="Times New Roman"/>
          <w:color w:val="auto"/>
          <w:spacing w:val="-7"/>
          <w:sz w:val="32"/>
          <w:szCs w:val="32"/>
        </w:rPr>
        <w:t>范围</w:t>
      </w:r>
      <w:r>
        <w:rPr>
          <w:rFonts w:hint="eastAsia" w:ascii="Times New Roman" w:hAnsi="Times New Roman" w:eastAsia="仿宋_GB2312" w:cs="Times New Roman"/>
          <w:color w:val="auto"/>
          <w:spacing w:val="-7"/>
          <w:sz w:val="32"/>
          <w:szCs w:val="32"/>
          <w:lang w:eastAsia="zh-CN"/>
        </w:rPr>
        <w:t>内</w:t>
      </w:r>
      <w:r>
        <w:rPr>
          <w:rFonts w:hint="default" w:ascii="Times New Roman" w:hAnsi="Times New Roman" w:eastAsia="仿宋_GB2312" w:cs="Times New Roman"/>
          <w:color w:val="auto"/>
          <w:spacing w:val="-7"/>
          <w:sz w:val="32"/>
          <w:szCs w:val="32"/>
        </w:rPr>
        <w:t>开展职业病危害专项治理工作，</w:t>
      </w:r>
      <w:r>
        <w:rPr>
          <w:rFonts w:hint="eastAsia" w:ascii="Times New Roman" w:hAnsi="Times New Roman" w:eastAsia="仿宋_GB2312" w:cs="Times New Roman"/>
          <w:color w:val="auto"/>
          <w:spacing w:val="-7"/>
          <w:sz w:val="32"/>
          <w:szCs w:val="32"/>
          <w:lang w:eastAsia="zh-CN"/>
        </w:rPr>
        <w:t>特</w:t>
      </w:r>
      <w:r>
        <w:rPr>
          <w:rFonts w:hint="default" w:ascii="Times New Roman" w:hAnsi="Times New Roman" w:eastAsia="仿宋_GB2312" w:cs="Times New Roman"/>
          <w:color w:val="auto"/>
          <w:spacing w:val="-7"/>
          <w:sz w:val="32"/>
          <w:szCs w:val="32"/>
        </w:rPr>
        <w:t>制定</w:t>
      </w:r>
      <w:r>
        <w:rPr>
          <w:rFonts w:hint="eastAsia" w:ascii="Times New Roman" w:hAnsi="Times New Roman" w:eastAsia="仿宋_GB2312" w:cs="Times New Roman"/>
          <w:color w:val="auto"/>
          <w:spacing w:val="-7"/>
          <w:sz w:val="32"/>
          <w:szCs w:val="32"/>
          <w:lang w:eastAsia="zh-CN"/>
        </w:rPr>
        <w:t>本</w:t>
      </w:r>
      <w:r>
        <w:rPr>
          <w:rFonts w:hint="default" w:ascii="Times New Roman" w:hAnsi="Times New Roman" w:eastAsia="仿宋_GB2312" w:cs="Times New Roman"/>
          <w:color w:val="auto"/>
          <w:spacing w:val="-7"/>
          <w:sz w:val="32"/>
          <w:szCs w:val="32"/>
        </w:rPr>
        <w:t>方案</w:t>
      </w:r>
      <w:r>
        <w:rPr>
          <w:rFonts w:hint="eastAsia" w:ascii="Times New Roman" w:hAnsi="Times New Roman" w:eastAsia="仿宋_GB2312" w:cs="Times New Roman"/>
          <w:color w:val="auto"/>
          <w:spacing w:val="-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99" w:firstLineChars="191"/>
        <w:jc w:val="both"/>
        <w:textAlignment w:val="auto"/>
        <w:rPr>
          <w:rFonts w:hint="default" w:ascii="Times New Roman" w:hAnsi="Times New Roman" w:eastAsia="仿宋_GB2312" w:cs="Times New Roman"/>
          <w:color w:val="auto"/>
          <w:spacing w:val="-7"/>
          <w:sz w:val="32"/>
          <w:szCs w:val="32"/>
        </w:rPr>
      </w:pPr>
      <w:r>
        <w:rPr>
          <w:rFonts w:hint="default" w:ascii="Times New Roman" w:hAnsi="Times New Roman" w:eastAsia="黑体" w:cs="Times New Roman"/>
          <w:color w:val="auto"/>
          <w:spacing w:val="-3"/>
          <w:sz w:val="32"/>
          <w:szCs w:val="32"/>
        </w:rPr>
        <w:t>一、目标要求</w:t>
      </w:r>
    </w:p>
    <w:p>
      <w:pPr>
        <w:keepNext w:val="0"/>
        <w:keepLines w:val="0"/>
        <w:pageBreakBefore w:val="0"/>
        <w:widowControl w:val="0"/>
        <w:kinsoku/>
        <w:wordWrap/>
        <w:overflowPunct/>
        <w:topLinePunct w:val="0"/>
        <w:autoSpaceDE/>
        <w:autoSpaceDN/>
        <w:bidi w:val="0"/>
        <w:adjustRightInd/>
        <w:snapToGrid/>
        <w:spacing w:line="540" w:lineRule="exact"/>
        <w:ind w:firstLine="580" w:firstLineChars="191"/>
        <w:jc w:val="both"/>
        <w:textAlignment w:val="auto"/>
        <w:rPr>
          <w:rFonts w:ascii="Times New Roman" w:hAnsi="Times New Roman" w:eastAsia="楷体_GB2312" w:cs="Times New Roman"/>
          <w:color w:val="auto"/>
          <w:spacing w:val="-8"/>
          <w:sz w:val="32"/>
          <w:szCs w:val="32"/>
        </w:rPr>
      </w:pPr>
      <w:r>
        <w:rPr>
          <w:rFonts w:hint="default" w:ascii="Times New Roman" w:hAnsi="Times New Roman" w:eastAsia="楷体_GB2312" w:cs="Times New Roman"/>
          <w:color w:val="auto"/>
          <w:spacing w:val="-8"/>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以习近平新时代中国特色社会主义思想为指导，认真贯彻</w:t>
      </w:r>
      <w:r>
        <w:rPr>
          <w:rFonts w:hint="default" w:ascii="Times New Roman" w:hAnsi="Times New Roman" w:eastAsia="仿宋_GB2312" w:cs="Times New Roman"/>
          <w:color w:val="auto"/>
          <w:spacing w:val="-7"/>
          <w:sz w:val="32"/>
          <w:szCs w:val="32"/>
          <w:lang w:eastAsia="zh-CN"/>
        </w:rPr>
        <w:t>党中央、国务院</w:t>
      </w:r>
      <w:r>
        <w:rPr>
          <w:rFonts w:hint="eastAsia"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rPr>
        <w:t>市委市政府</w:t>
      </w:r>
      <w:r>
        <w:rPr>
          <w:rFonts w:hint="eastAsia" w:eastAsia="仿宋_GB2312" w:cs="Times New Roman"/>
          <w:color w:val="auto"/>
          <w:spacing w:val="-7"/>
          <w:sz w:val="32"/>
          <w:szCs w:val="32"/>
          <w:lang w:eastAsia="zh-CN"/>
        </w:rPr>
        <w:t>和区委区政府</w:t>
      </w:r>
      <w:r>
        <w:rPr>
          <w:rFonts w:hint="default" w:ascii="Times New Roman" w:hAnsi="Times New Roman" w:eastAsia="仿宋_GB2312" w:cs="Times New Roman"/>
          <w:color w:val="auto"/>
          <w:spacing w:val="-7"/>
          <w:sz w:val="32"/>
          <w:szCs w:val="32"/>
        </w:rPr>
        <w:t>关于职业病防治工作的决策部署</w:t>
      </w:r>
      <w:r>
        <w:rPr>
          <w:rFonts w:hint="default" w:ascii="Times New Roman" w:hAnsi="Times New Roman" w:eastAsia="仿宋_GB2312" w:cs="Times New Roman"/>
          <w:color w:val="auto"/>
          <w:spacing w:val="-7"/>
          <w:sz w:val="32"/>
          <w:szCs w:val="32"/>
          <w:lang w:eastAsia="zh-CN"/>
        </w:rPr>
        <w:t>，落实</w:t>
      </w:r>
      <w:r>
        <w:rPr>
          <w:rFonts w:hint="default" w:ascii="Times New Roman" w:hAnsi="Times New Roman" w:eastAsia="仿宋_GB2312" w:cs="Times New Roman"/>
          <w:color w:val="auto"/>
          <w:spacing w:val="-7"/>
          <w:sz w:val="32"/>
          <w:szCs w:val="32"/>
        </w:rPr>
        <w:t>《职业病防治法》相关</w:t>
      </w:r>
      <w:r>
        <w:rPr>
          <w:rFonts w:hint="default" w:ascii="Times New Roman" w:hAnsi="Times New Roman" w:eastAsia="仿宋_GB2312" w:cs="Times New Roman"/>
          <w:color w:val="auto"/>
          <w:spacing w:val="-7"/>
          <w:sz w:val="32"/>
          <w:szCs w:val="32"/>
          <w:lang w:eastAsia="zh-CN"/>
        </w:rPr>
        <w:t>规定</w:t>
      </w:r>
      <w:r>
        <w:rPr>
          <w:rFonts w:hint="default" w:ascii="Times New Roman" w:hAnsi="Times New Roman" w:eastAsia="仿宋_GB2312" w:cs="Times New Roman"/>
          <w:color w:val="auto"/>
          <w:spacing w:val="-7"/>
          <w:sz w:val="32"/>
          <w:szCs w:val="32"/>
        </w:rPr>
        <w:t>，坚持以人民健康为中心，深入</w:t>
      </w:r>
      <w:r>
        <w:rPr>
          <w:rFonts w:hint="default" w:ascii="Times New Roman" w:hAnsi="Times New Roman" w:eastAsia="仿宋_GB2312" w:cs="Times New Roman"/>
          <w:color w:val="auto"/>
          <w:spacing w:val="-7"/>
          <w:sz w:val="32"/>
          <w:szCs w:val="32"/>
          <w:lang w:eastAsia="zh-CN"/>
        </w:rPr>
        <w:t>推进</w:t>
      </w:r>
      <w:r>
        <w:rPr>
          <w:rFonts w:hint="default" w:ascii="Times New Roman" w:hAnsi="Times New Roman" w:eastAsia="仿宋_GB2312" w:cs="Times New Roman"/>
          <w:color w:val="auto"/>
          <w:spacing w:val="-7"/>
          <w:sz w:val="32"/>
          <w:szCs w:val="32"/>
        </w:rPr>
        <w:t>健康</w:t>
      </w:r>
      <w:r>
        <w:rPr>
          <w:rFonts w:hint="eastAsia" w:eastAsia="仿宋_GB2312" w:cs="Times New Roman"/>
          <w:color w:val="auto"/>
          <w:spacing w:val="-7"/>
          <w:sz w:val="32"/>
          <w:szCs w:val="32"/>
          <w:lang w:eastAsia="zh-CN"/>
        </w:rPr>
        <w:t>滨海</w:t>
      </w:r>
      <w:r>
        <w:rPr>
          <w:rFonts w:hint="default" w:ascii="Times New Roman" w:hAnsi="Times New Roman" w:eastAsia="仿宋_GB2312" w:cs="Times New Roman"/>
          <w:color w:val="auto"/>
          <w:spacing w:val="-7"/>
          <w:sz w:val="32"/>
          <w:szCs w:val="32"/>
          <w:lang w:eastAsia="zh-CN"/>
        </w:rPr>
        <w:t>建设</w:t>
      </w:r>
      <w:r>
        <w:rPr>
          <w:rFonts w:hint="default" w:ascii="Times New Roman" w:hAnsi="Times New Roman" w:eastAsia="仿宋_GB2312" w:cs="Times New Roman"/>
          <w:color w:val="auto"/>
          <w:spacing w:val="-7"/>
          <w:sz w:val="32"/>
          <w:szCs w:val="32"/>
        </w:rPr>
        <w:t>，通过开展工业企业粉尘、化学毒物、噪声超标专项治理，改善工作场所劳动条件，从源头控制和减少职业病危害，不断加强职业健康监督管理，保障广大劳动者职业健康。</w:t>
      </w:r>
    </w:p>
    <w:p>
      <w:pPr>
        <w:keepNext w:val="0"/>
        <w:keepLines w:val="0"/>
        <w:pageBreakBefore w:val="0"/>
        <w:widowControl w:val="0"/>
        <w:kinsoku/>
        <w:wordWrap/>
        <w:overflowPunct/>
        <w:topLinePunct w:val="0"/>
        <w:autoSpaceDE/>
        <w:autoSpaceDN/>
        <w:bidi w:val="0"/>
        <w:adjustRightInd/>
        <w:snapToGrid/>
        <w:spacing w:line="540" w:lineRule="exact"/>
        <w:ind w:firstLine="580" w:firstLineChars="191"/>
        <w:jc w:val="both"/>
        <w:textAlignment w:val="auto"/>
        <w:rPr>
          <w:rFonts w:ascii="Times New Roman" w:hAnsi="Times New Roman" w:eastAsia="楷体_GB2312" w:cs="Times New Roman"/>
          <w:color w:val="auto"/>
          <w:spacing w:val="-8"/>
          <w:sz w:val="32"/>
          <w:szCs w:val="32"/>
        </w:rPr>
      </w:pPr>
      <w:r>
        <w:rPr>
          <w:rFonts w:hint="default" w:ascii="Times New Roman" w:hAnsi="Times New Roman" w:eastAsia="楷体_GB2312" w:cs="Times New Roman"/>
          <w:color w:val="auto"/>
          <w:spacing w:val="-8"/>
          <w:sz w:val="32"/>
          <w:szCs w:val="32"/>
        </w:rPr>
        <w:t>（二）治理范围</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sz w:val="32"/>
          <w:szCs w:val="32"/>
        </w:rPr>
      </w:pPr>
      <w:r>
        <w:rPr>
          <w:rFonts w:hint="default" w:ascii="Times New Roman" w:hAnsi="Times New Roman" w:eastAsia="仿宋_GB2312" w:cs="Times New Roman"/>
          <w:color w:val="auto"/>
          <w:spacing w:val="-7"/>
          <w:sz w:val="32"/>
          <w:szCs w:val="32"/>
        </w:rPr>
        <w:t>本次治理范围包括全</w:t>
      </w:r>
      <w:r>
        <w:rPr>
          <w:rFonts w:hint="eastAsia" w:ascii="Times New Roman" w:hAnsi="Times New Roman" w:eastAsia="仿宋_GB2312" w:cs="Times New Roman"/>
          <w:color w:val="auto"/>
          <w:spacing w:val="-7"/>
          <w:sz w:val="32"/>
          <w:szCs w:val="32"/>
          <w:lang w:eastAsia="zh-CN"/>
        </w:rPr>
        <w:t>区</w:t>
      </w:r>
      <w:r>
        <w:rPr>
          <w:rFonts w:hint="default" w:ascii="Times New Roman" w:hAnsi="Times New Roman" w:eastAsia="仿宋_GB2312" w:cs="Times New Roman"/>
          <w:color w:val="auto"/>
          <w:spacing w:val="-7"/>
          <w:sz w:val="32"/>
          <w:szCs w:val="32"/>
        </w:rPr>
        <w:t>存在粉尘、化学毒物、噪声危害因素浓（强）度超标的工业企业（以下简称</w:t>
      </w:r>
      <w:r>
        <w:rPr>
          <w:rFonts w:hint="eastAsia"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rPr>
        <w:t>治理企业”）。</w:t>
      </w:r>
    </w:p>
    <w:p>
      <w:pPr>
        <w:keepNext w:val="0"/>
        <w:keepLines w:val="0"/>
        <w:pageBreakBefore w:val="0"/>
        <w:widowControl w:val="0"/>
        <w:kinsoku/>
        <w:wordWrap/>
        <w:overflowPunct/>
        <w:topLinePunct w:val="0"/>
        <w:autoSpaceDE/>
        <w:autoSpaceDN/>
        <w:bidi w:val="0"/>
        <w:adjustRightInd/>
        <w:snapToGrid/>
        <w:spacing w:line="540" w:lineRule="exact"/>
        <w:ind w:firstLine="580" w:firstLineChars="191"/>
        <w:jc w:val="both"/>
        <w:textAlignment w:val="auto"/>
        <w:rPr>
          <w:rFonts w:ascii="Times New Roman" w:hAnsi="Times New Roman" w:eastAsia="楷体_GB2312" w:cs="Times New Roman"/>
          <w:color w:val="auto"/>
          <w:spacing w:val="-8"/>
          <w:sz w:val="32"/>
          <w:szCs w:val="32"/>
        </w:rPr>
      </w:pPr>
      <w:r>
        <w:rPr>
          <w:rFonts w:hint="default" w:ascii="Times New Roman" w:hAnsi="Times New Roman" w:eastAsia="楷体_GB2312" w:cs="Times New Roman"/>
          <w:color w:val="auto"/>
          <w:spacing w:val="-8"/>
          <w:sz w:val="32"/>
          <w:szCs w:val="32"/>
        </w:rPr>
        <w:t>（三）工作目标</w:t>
      </w:r>
    </w:p>
    <w:p>
      <w:pPr>
        <w:pStyle w:val="4"/>
        <w:keepNext w:val="0"/>
        <w:keepLines w:val="0"/>
        <w:pageBreakBefore w:val="0"/>
        <w:widowControl w:val="0"/>
        <w:kinsoku/>
        <w:wordWrap/>
        <w:overflowPunct/>
        <w:topLinePunct w:val="0"/>
        <w:autoSpaceDE/>
        <w:autoSpaceDN/>
        <w:bidi w:val="0"/>
        <w:adjustRightInd/>
        <w:snapToGrid/>
        <w:spacing w:line="540" w:lineRule="exact"/>
        <w:ind w:firstLine="614" w:firstLineChars="191"/>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cs="Times New Roman"/>
          <w:b/>
          <w:bCs/>
          <w:szCs w:val="32"/>
        </w:rPr>
        <w:t>总体目标：</w:t>
      </w:r>
      <w:r>
        <w:rPr>
          <w:rFonts w:hint="default" w:ascii="Times New Roman" w:hAnsi="Times New Roman" w:eastAsia="仿宋_GB2312" w:cs="Times New Roman"/>
          <w:color w:val="auto"/>
          <w:spacing w:val="-7"/>
          <w:kern w:val="2"/>
          <w:sz w:val="32"/>
          <w:szCs w:val="32"/>
          <w:lang w:val="en-US" w:eastAsia="zh-CN" w:bidi="ar-SA"/>
        </w:rPr>
        <w:t>到2025年11月底，工作场所粉尘、化学毒物、噪声危害等职业病危害状况明显好转，职业病防护设施日趋完善，工作场所劳动条件显著改善，尘肺病等重点职业病得到有效防控，治理企业主体责任不断强化，职业健康管理水平持续提升，全社会职业健康意识显著增强，劳动者健康水平进一步提高。</w:t>
      </w:r>
    </w:p>
    <w:p>
      <w:pPr>
        <w:pStyle w:val="4"/>
        <w:keepNext w:val="0"/>
        <w:keepLines w:val="0"/>
        <w:pageBreakBefore w:val="0"/>
        <w:widowControl w:val="0"/>
        <w:kinsoku/>
        <w:wordWrap/>
        <w:overflowPunct/>
        <w:topLinePunct w:val="0"/>
        <w:autoSpaceDE/>
        <w:autoSpaceDN/>
        <w:bidi w:val="0"/>
        <w:adjustRightInd/>
        <w:snapToGrid/>
        <w:spacing w:line="540" w:lineRule="exact"/>
        <w:ind w:firstLine="614" w:firstLineChars="191"/>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b/>
          <w:bCs/>
          <w:snapToGrid/>
          <w:color w:val="auto"/>
          <w:kern w:val="2"/>
          <w:sz w:val="32"/>
          <w:szCs w:val="32"/>
        </w:rPr>
        <w:t>主要指标：</w:t>
      </w:r>
      <w:r>
        <w:rPr>
          <w:rFonts w:hint="default" w:ascii="Times New Roman" w:hAnsi="Times New Roman" w:eastAsia="仿宋_GB2312" w:cs="Times New Roman"/>
          <w:color w:val="auto"/>
          <w:spacing w:val="-7"/>
          <w:kern w:val="2"/>
          <w:sz w:val="32"/>
          <w:szCs w:val="32"/>
          <w:lang w:val="en-US" w:eastAsia="zh-CN" w:bidi="ar-SA"/>
        </w:rPr>
        <w:t>到2025年11月底，</w:t>
      </w:r>
      <w:r>
        <w:rPr>
          <w:rFonts w:hint="eastAsia" w:ascii="Times New Roman" w:hAnsi="Times New Roman" w:eastAsia="仿宋_GB2312" w:cs="Times New Roman"/>
          <w:color w:val="auto"/>
          <w:spacing w:val="-7"/>
          <w:kern w:val="2"/>
          <w:sz w:val="32"/>
          <w:szCs w:val="32"/>
          <w:lang w:val="en-US" w:eastAsia="zh-CN" w:bidi="ar-SA"/>
        </w:rPr>
        <w:t>当年</w:t>
      </w:r>
      <w:r>
        <w:rPr>
          <w:rFonts w:hint="default" w:ascii="Times New Roman" w:hAnsi="Times New Roman" w:eastAsia="仿宋_GB2312" w:cs="Times New Roman"/>
          <w:color w:val="auto"/>
          <w:spacing w:val="-7"/>
          <w:kern w:val="2"/>
          <w:sz w:val="32"/>
          <w:szCs w:val="32"/>
          <w:lang w:val="en-US" w:eastAsia="zh-CN" w:bidi="ar-SA"/>
        </w:rPr>
        <w:t>纳入治理范围的企业工作场所作业环境得到显著改善</w:t>
      </w:r>
      <w:r>
        <w:rPr>
          <w:rFonts w:hint="eastAsia" w:ascii="Times New Roman" w:hAnsi="Times New Roman" w:eastAsia="仿宋_GB2312" w:cs="Times New Roman"/>
          <w:color w:val="auto"/>
          <w:spacing w:val="-7"/>
          <w:kern w:val="2"/>
          <w:sz w:val="32"/>
          <w:szCs w:val="32"/>
          <w:lang w:val="en-US" w:eastAsia="zh-CN" w:bidi="ar-SA"/>
        </w:rPr>
        <w:t xml:space="preserve"> ，</w:t>
      </w:r>
      <w:r>
        <w:rPr>
          <w:rFonts w:hint="default" w:ascii="Times New Roman" w:hAnsi="Times New Roman" w:eastAsia="仿宋_GB2312" w:cs="Times New Roman"/>
          <w:color w:val="auto"/>
          <w:spacing w:val="-7"/>
          <w:kern w:val="2"/>
          <w:sz w:val="32"/>
          <w:szCs w:val="32"/>
          <w:lang w:val="en-US" w:eastAsia="zh-CN" w:bidi="ar-SA"/>
        </w:rPr>
        <w:t>粉尘、化学毒物、噪声岗位合格率达到85%以上，职业病危害项目申报率达9</w:t>
      </w:r>
      <w:r>
        <w:rPr>
          <w:rFonts w:hint="eastAsia" w:ascii="Times New Roman" w:hAnsi="Times New Roman" w:eastAsia="仿宋_GB2312" w:cs="Times New Roman"/>
          <w:color w:val="auto"/>
          <w:spacing w:val="-7"/>
          <w:kern w:val="2"/>
          <w:sz w:val="32"/>
          <w:szCs w:val="32"/>
          <w:lang w:val="en-US" w:eastAsia="zh-CN" w:bidi="ar-SA"/>
        </w:rPr>
        <w:t>0</w:t>
      </w:r>
      <w:r>
        <w:rPr>
          <w:rFonts w:hint="default" w:ascii="Times New Roman" w:hAnsi="Times New Roman" w:eastAsia="仿宋_GB2312" w:cs="Times New Roman"/>
          <w:color w:val="auto"/>
          <w:spacing w:val="-7"/>
          <w:kern w:val="2"/>
          <w:sz w:val="32"/>
          <w:szCs w:val="32"/>
          <w:lang w:val="en-US" w:eastAsia="zh-CN" w:bidi="ar-SA"/>
        </w:rPr>
        <w:t>%以上，工作场所职业病危害因素监测合格率达85%以上，重点人群职业健康知识知晓率达到85%以上，</w:t>
      </w:r>
      <w:r>
        <w:rPr>
          <w:rFonts w:hint="eastAsia" w:ascii="Times New Roman" w:hAnsi="Times New Roman" w:eastAsia="仿宋_GB2312" w:cs="Times New Roman"/>
          <w:color w:val="auto"/>
          <w:spacing w:val="-7"/>
          <w:kern w:val="2"/>
          <w:sz w:val="32"/>
          <w:szCs w:val="32"/>
          <w:lang w:val="en-US" w:eastAsia="zh-CN" w:bidi="ar-SA"/>
        </w:rPr>
        <w:t>违法案件查处率达到100%</w:t>
      </w:r>
      <w:r>
        <w:rPr>
          <w:rFonts w:hint="default" w:ascii="Times New Roman" w:hAnsi="Times New Roman" w:eastAsia="仿宋_GB2312" w:cs="Times New Roman"/>
          <w:color w:val="auto"/>
          <w:spacing w:val="-7"/>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599" w:firstLineChars="191"/>
        <w:jc w:val="both"/>
        <w:textAlignment w:val="auto"/>
        <w:rPr>
          <w:rFonts w:ascii="Times New Roman" w:hAnsi="Times New Roman" w:eastAsia="黑体" w:cs="Times New Roman"/>
          <w:color w:val="auto"/>
          <w:spacing w:val="-3"/>
          <w:sz w:val="32"/>
          <w:szCs w:val="32"/>
        </w:rPr>
      </w:pPr>
      <w:r>
        <w:rPr>
          <w:rFonts w:hint="default" w:ascii="Times New Roman" w:hAnsi="Times New Roman" w:eastAsia="黑体" w:cs="Times New Roman"/>
          <w:color w:val="auto"/>
          <w:spacing w:val="-3"/>
          <w:sz w:val="32"/>
          <w:szCs w:val="32"/>
        </w:rPr>
        <w:t>二、步骤安排</w:t>
      </w:r>
    </w:p>
    <w:p>
      <w:pPr>
        <w:keepNext w:val="0"/>
        <w:keepLines w:val="0"/>
        <w:pageBreakBefore w:val="0"/>
        <w:widowControl w:val="0"/>
        <w:kinsoku/>
        <w:wordWrap/>
        <w:overflowPunct/>
        <w:topLinePunct w:val="0"/>
        <w:autoSpaceDE/>
        <w:autoSpaceDN/>
        <w:bidi w:val="0"/>
        <w:adjustRightInd/>
        <w:snapToGrid/>
        <w:spacing w:line="540" w:lineRule="exact"/>
        <w:ind w:firstLine="565" w:firstLineChars="191"/>
        <w:jc w:val="both"/>
        <w:textAlignment w:val="auto"/>
        <w:rPr>
          <w:rFonts w:ascii="Times New Roman" w:hAnsi="Times New Roman" w:eastAsia="仿宋_GB2312" w:cs="Times New Roman"/>
          <w:b/>
          <w:bCs/>
          <w:color w:val="auto"/>
          <w:spacing w:val="-12"/>
          <w:sz w:val="32"/>
          <w:szCs w:val="32"/>
        </w:rPr>
      </w:pPr>
      <w:bookmarkStart w:id="2" w:name="bookmark10"/>
      <w:r>
        <w:rPr>
          <w:rFonts w:hint="default" w:ascii="Times New Roman" w:hAnsi="Times New Roman" w:eastAsia="楷体_GB2312" w:cs="Times New Roman"/>
          <w:color w:val="auto"/>
          <w:spacing w:val="-12"/>
          <w:sz w:val="32"/>
          <w:szCs w:val="32"/>
        </w:rPr>
        <w:t>（</w:t>
      </w:r>
      <w:bookmarkEnd w:id="2"/>
      <w:r>
        <w:rPr>
          <w:rFonts w:hint="default" w:ascii="Times New Roman" w:hAnsi="Times New Roman" w:eastAsia="楷体_GB2312" w:cs="Times New Roman"/>
          <w:color w:val="auto"/>
          <w:spacing w:val="-12"/>
          <w:sz w:val="32"/>
          <w:szCs w:val="32"/>
        </w:rPr>
        <w:t>一）安排部署阶段（2022年3月—</w:t>
      </w:r>
      <w:r>
        <w:rPr>
          <w:rFonts w:hint="eastAsia" w:eastAsia="楷体_GB2312" w:cs="Times New Roman"/>
          <w:color w:val="auto"/>
          <w:spacing w:val="-12"/>
          <w:sz w:val="32"/>
          <w:szCs w:val="32"/>
          <w:lang w:val="en-US" w:eastAsia="zh-CN"/>
        </w:rPr>
        <w:t>7</w:t>
      </w:r>
      <w:r>
        <w:rPr>
          <w:rFonts w:hint="default" w:ascii="Times New Roman" w:hAnsi="Times New Roman" w:eastAsia="楷体_GB2312" w:cs="Times New Roman"/>
          <w:color w:val="auto"/>
          <w:spacing w:val="-12"/>
          <w:sz w:val="32"/>
          <w:szCs w:val="32"/>
        </w:rPr>
        <w:t>月）</w:t>
      </w:r>
    </w:p>
    <w:p>
      <w:pPr>
        <w:keepNext w:val="0"/>
        <w:keepLines w:val="0"/>
        <w:pageBreakBefore w:val="0"/>
        <w:widowControl w:val="0"/>
        <w:kinsoku/>
        <w:wordWrap/>
        <w:overflowPunct/>
        <w:topLinePunct w:val="0"/>
        <w:autoSpaceDE/>
        <w:autoSpaceDN/>
        <w:bidi w:val="0"/>
        <w:adjustRightInd/>
        <w:snapToGrid/>
        <w:spacing w:line="540" w:lineRule="exact"/>
        <w:ind w:firstLine="568" w:firstLineChars="191"/>
        <w:jc w:val="both"/>
        <w:textAlignment w:val="auto"/>
        <w:rPr>
          <w:rFonts w:hint="eastAsia" w:ascii="仿宋_GB2312" w:hAnsi="仿宋_GB2312" w:eastAsia="仿宋_GB2312" w:cs="仿宋_GB2312"/>
          <w:b/>
          <w:bCs/>
          <w:color w:val="auto"/>
          <w:spacing w:val="-12"/>
          <w:sz w:val="32"/>
          <w:szCs w:val="32"/>
          <w:highlight w:val="none"/>
        </w:rPr>
      </w:pPr>
      <w:bookmarkStart w:id="3" w:name="bookmark11"/>
      <w:bookmarkEnd w:id="3"/>
      <w:r>
        <w:rPr>
          <w:rFonts w:hint="eastAsia" w:ascii="仿宋_GB2312" w:hAnsi="仿宋_GB2312" w:eastAsia="仿宋_GB2312" w:cs="仿宋_GB2312"/>
          <w:b/>
          <w:bCs/>
          <w:color w:val="auto"/>
          <w:spacing w:val="-12"/>
          <w:sz w:val="32"/>
          <w:szCs w:val="32"/>
          <w:highlight w:val="none"/>
        </w:rPr>
        <w:t>1.确定治理企业</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国家卫生健康委</w:t>
      </w:r>
      <w:r>
        <w:rPr>
          <w:rFonts w:hint="eastAsia" w:ascii="Times New Roman" w:hAnsi="Times New Roman" w:eastAsia="仿宋_GB2312" w:cs="Times New Roman"/>
          <w:color w:val="auto"/>
          <w:spacing w:val="-7"/>
          <w:kern w:val="2"/>
          <w:sz w:val="32"/>
          <w:szCs w:val="32"/>
          <w:lang w:val="en-US" w:eastAsia="zh-CN" w:bidi="ar-SA"/>
        </w:rPr>
        <w:t>将</w:t>
      </w:r>
      <w:r>
        <w:rPr>
          <w:rFonts w:hint="default" w:ascii="Times New Roman" w:hAnsi="Times New Roman" w:eastAsia="仿宋_GB2312" w:cs="Times New Roman"/>
          <w:color w:val="auto"/>
          <w:spacing w:val="-7"/>
          <w:kern w:val="2"/>
          <w:sz w:val="32"/>
          <w:szCs w:val="32"/>
          <w:lang w:val="en-US" w:eastAsia="zh-CN" w:bidi="ar-SA"/>
        </w:rPr>
        <w:t>在职业病危害项目申报系统中设立专项治理模块，</w:t>
      </w:r>
      <w:r>
        <w:rPr>
          <w:rFonts w:hint="eastAsia" w:ascii="Times New Roman" w:hAnsi="Times New Roman" w:eastAsia="仿宋_GB2312" w:cs="Times New Roman"/>
          <w:color w:val="auto"/>
          <w:spacing w:val="-7"/>
          <w:kern w:val="2"/>
          <w:sz w:val="32"/>
          <w:szCs w:val="32"/>
          <w:lang w:val="en-US" w:eastAsia="zh-CN" w:bidi="ar-SA"/>
        </w:rPr>
        <w:t>以国家下发的“</w:t>
      </w:r>
      <w:r>
        <w:rPr>
          <w:rFonts w:hint="default" w:ascii="Times New Roman" w:hAnsi="Times New Roman" w:eastAsia="仿宋_GB2312" w:cs="Times New Roman"/>
          <w:color w:val="auto"/>
          <w:spacing w:val="-7"/>
          <w:kern w:val="2"/>
          <w:sz w:val="32"/>
          <w:szCs w:val="32"/>
          <w:lang w:val="en-US" w:eastAsia="zh-CN" w:bidi="ar-SA"/>
        </w:rPr>
        <w:t>职业健康基础数据库</w:t>
      </w:r>
      <w:r>
        <w:rPr>
          <w:rFonts w:hint="eastAsia" w:ascii="Times New Roman" w:hAnsi="Times New Roman" w:eastAsia="仿宋_GB2312" w:cs="Times New Roman"/>
          <w:color w:val="auto"/>
          <w:spacing w:val="-7"/>
          <w:kern w:val="2"/>
          <w:sz w:val="32"/>
          <w:szCs w:val="32"/>
          <w:lang w:val="en-US" w:eastAsia="zh-CN" w:bidi="ar-SA"/>
        </w:rPr>
        <w:t>”</w:t>
      </w:r>
      <w:r>
        <w:rPr>
          <w:rFonts w:hint="default" w:ascii="Times New Roman" w:hAnsi="Times New Roman" w:eastAsia="仿宋_GB2312" w:cs="Times New Roman"/>
          <w:color w:val="auto"/>
          <w:spacing w:val="-7"/>
          <w:kern w:val="2"/>
          <w:sz w:val="32"/>
          <w:szCs w:val="32"/>
          <w:lang w:val="en-US" w:eastAsia="zh-CN" w:bidi="ar-SA"/>
        </w:rPr>
        <w:t>为基础</w:t>
      </w:r>
      <w:r>
        <w:rPr>
          <w:rFonts w:hint="eastAsia" w:ascii="Times New Roman" w:hAnsi="Times New Roman" w:eastAsia="仿宋_GB2312" w:cs="Times New Roman"/>
          <w:color w:val="auto"/>
          <w:spacing w:val="-7"/>
          <w:kern w:val="2"/>
          <w:sz w:val="32"/>
          <w:szCs w:val="32"/>
          <w:lang w:val="en-US" w:eastAsia="zh-CN" w:bidi="ar-SA"/>
        </w:rPr>
        <w:t>，泰达街、各开发区卫生健康管理部门和区卫生计生综合监督所要</w:t>
      </w:r>
      <w:r>
        <w:rPr>
          <w:rFonts w:hint="default" w:ascii="Times New Roman" w:hAnsi="Times New Roman" w:eastAsia="仿宋_GB2312" w:cs="Times New Roman"/>
          <w:color w:val="auto"/>
          <w:spacing w:val="-7"/>
          <w:kern w:val="2"/>
          <w:sz w:val="32"/>
          <w:szCs w:val="32"/>
          <w:lang w:val="en-US" w:eastAsia="zh-CN" w:bidi="ar-SA"/>
        </w:rPr>
        <w:t>结合职业病危害现状调查、职业病危害项目申报、职业病及危害因素监测等数据，</w:t>
      </w:r>
      <w:r>
        <w:rPr>
          <w:rFonts w:hint="eastAsia" w:ascii="Times New Roman" w:hAnsi="Times New Roman" w:eastAsia="仿宋_GB2312" w:cs="Times New Roman"/>
          <w:color w:val="auto"/>
          <w:spacing w:val="-7"/>
          <w:kern w:val="2"/>
          <w:sz w:val="32"/>
          <w:szCs w:val="32"/>
          <w:lang w:val="en-US" w:eastAsia="zh-CN" w:bidi="ar-SA"/>
        </w:rPr>
        <w:t>对治理企业基本信息进行补充完善，</w:t>
      </w:r>
      <w:r>
        <w:rPr>
          <w:rFonts w:hint="default" w:ascii="Times New Roman" w:hAnsi="Times New Roman" w:eastAsia="仿宋_GB2312" w:cs="Times New Roman"/>
          <w:color w:val="auto"/>
          <w:spacing w:val="-7"/>
          <w:kern w:val="2"/>
          <w:sz w:val="32"/>
          <w:szCs w:val="32"/>
          <w:lang w:val="en-US" w:eastAsia="zh-CN" w:bidi="ar-SA"/>
        </w:rPr>
        <w:t>建立治理企业基础台账</w:t>
      </w:r>
      <w:r>
        <w:rPr>
          <w:rFonts w:hint="eastAsia" w:ascii="Times New Roman" w:hAnsi="Times New Roman" w:eastAsia="仿宋_GB2312" w:cs="Times New Roman"/>
          <w:color w:val="auto"/>
          <w:spacing w:val="-7"/>
          <w:kern w:val="2"/>
          <w:sz w:val="32"/>
          <w:szCs w:val="32"/>
          <w:lang w:val="en-US" w:eastAsia="zh-CN" w:bidi="ar-SA"/>
        </w:rPr>
        <w:t>。</w:t>
      </w:r>
      <w:r>
        <w:rPr>
          <w:rFonts w:hint="default" w:ascii="Times New Roman" w:hAnsi="Times New Roman" w:eastAsia="仿宋_GB2312" w:cs="Times New Roman"/>
          <w:color w:val="auto"/>
          <w:spacing w:val="-7"/>
          <w:kern w:val="2"/>
          <w:sz w:val="32"/>
          <w:szCs w:val="32"/>
          <w:lang w:val="en-US" w:eastAsia="zh-CN" w:bidi="ar-SA"/>
        </w:rPr>
        <w:t>符合以下情形之一的工业企业，应纳入治理企业清单。</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（1）2019年以来未开展职业病危害因素定期检测、评价的工业企业。</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（2）存在粉尘、化学毒物或噪声危害因素浓（强）度超标情况的工业企业。</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（3）2019年以来新发确诊职业病的工业企业。</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（4）2019年以来受到卫生健康</w:t>
      </w:r>
      <w:r>
        <w:rPr>
          <w:rFonts w:hint="eastAsia" w:ascii="Times New Roman" w:hAnsi="Times New Roman" w:eastAsia="仿宋_GB2312" w:cs="Times New Roman"/>
          <w:color w:val="auto"/>
          <w:spacing w:val="-7"/>
          <w:kern w:val="2"/>
          <w:sz w:val="32"/>
          <w:szCs w:val="32"/>
          <w:lang w:val="en-US" w:eastAsia="zh-CN" w:bidi="ar-SA"/>
        </w:rPr>
        <w:t>管理部门</w:t>
      </w:r>
      <w:r>
        <w:rPr>
          <w:rFonts w:hint="default" w:ascii="Times New Roman" w:hAnsi="Times New Roman" w:eastAsia="仿宋_GB2312" w:cs="Times New Roman"/>
          <w:color w:val="auto"/>
          <w:spacing w:val="-7"/>
          <w:kern w:val="2"/>
          <w:sz w:val="32"/>
          <w:szCs w:val="32"/>
          <w:lang w:val="en-US" w:eastAsia="zh-CN" w:bidi="ar-SA"/>
        </w:rPr>
        <w:t>或卫生监督</w:t>
      </w:r>
      <w:r>
        <w:rPr>
          <w:rFonts w:hint="eastAsia" w:ascii="Times New Roman" w:hAnsi="Times New Roman" w:eastAsia="仿宋_GB2312" w:cs="Times New Roman"/>
          <w:color w:val="auto"/>
          <w:spacing w:val="-7"/>
          <w:kern w:val="2"/>
          <w:sz w:val="32"/>
          <w:szCs w:val="32"/>
          <w:lang w:val="en-US" w:eastAsia="zh-CN" w:bidi="ar-SA"/>
        </w:rPr>
        <w:t>部门</w:t>
      </w:r>
      <w:r>
        <w:rPr>
          <w:rFonts w:hint="default" w:ascii="Times New Roman" w:hAnsi="Times New Roman" w:eastAsia="仿宋_GB2312" w:cs="Times New Roman"/>
          <w:color w:val="auto"/>
          <w:spacing w:val="-7"/>
          <w:kern w:val="2"/>
          <w:sz w:val="32"/>
          <w:szCs w:val="32"/>
          <w:lang w:val="en-US" w:eastAsia="zh-CN" w:bidi="ar-SA"/>
        </w:rPr>
        <w:t>行政处罚的工业企业。</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bookmarkStart w:id="4" w:name="bookmark12"/>
      <w:r>
        <w:rPr>
          <w:rFonts w:hint="eastAsia" w:ascii="Times New Roman" w:hAnsi="Times New Roman" w:eastAsia="仿宋_GB2312" w:cs="Times New Roman"/>
          <w:color w:val="auto"/>
          <w:spacing w:val="-7"/>
          <w:kern w:val="2"/>
          <w:sz w:val="32"/>
          <w:szCs w:val="32"/>
          <w:lang w:val="en-US" w:eastAsia="zh-CN" w:bidi="ar-SA"/>
        </w:rPr>
        <w:t>泰达街、各开发区卫生健康管理部门和区卫生计生综合监督所</w:t>
      </w:r>
      <w:r>
        <w:rPr>
          <w:rFonts w:hint="default" w:ascii="Times New Roman" w:hAnsi="Times New Roman" w:eastAsia="仿宋_GB2312" w:cs="Times New Roman"/>
          <w:color w:val="auto"/>
          <w:spacing w:val="-7"/>
          <w:kern w:val="2"/>
          <w:sz w:val="32"/>
          <w:szCs w:val="32"/>
          <w:lang w:val="en-US" w:eastAsia="zh-CN" w:bidi="ar-SA"/>
        </w:rPr>
        <w:t>于每年7月1</w:t>
      </w:r>
      <w:r>
        <w:rPr>
          <w:rFonts w:hint="eastAsia" w:ascii="Times New Roman" w:hAnsi="Times New Roman" w:eastAsia="仿宋_GB2312" w:cs="Times New Roman"/>
          <w:color w:val="auto"/>
          <w:spacing w:val="-7"/>
          <w:kern w:val="2"/>
          <w:sz w:val="32"/>
          <w:szCs w:val="32"/>
          <w:lang w:val="en-US" w:eastAsia="zh-CN" w:bidi="ar-SA"/>
        </w:rPr>
        <w:t>0</w:t>
      </w:r>
      <w:r>
        <w:rPr>
          <w:rFonts w:hint="default" w:ascii="Times New Roman" w:hAnsi="Times New Roman" w:eastAsia="仿宋_GB2312" w:cs="Times New Roman"/>
          <w:color w:val="auto"/>
          <w:spacing w:val="-7"/>
          <w:kern w:val="2"/>
          <w:sz w:val="32"/>
          <w:szCs w:val="32"/>
          <w:lang w:val="en-US" w:eastAsia="zh-CN" w:bidi="ar-SA"/>
        </w:rPr>
        <w:t>日前将本年度职业病危害治理企业基本情况登记表（附件</w:t>
      </w:r>
      <w:r>
        <w:rPr>
          <w:rFonts w:hint="eastAsia" w:ascii="Times New Roman" w:hAnsi="Times New Roman" w:eastAsia="仿宋_GB2312" w:cs="Times New Roman"/>
          <w:color w:val="auto"/>
          <w:spacing w:val="-7"/>
          <w:kern w:val="2"/>
          <w:sz w:val="32"/>
          <w:szCs w:val="32"/>
          <w:lang w:val="en-US" w:eastAsia="zh-CN" w:bidi="ar-SA"/>
        </w:rPr>
        <w:t>1</w:t>
      </w:r>
      <w:r>
        <w:rPr>
          <w:rFonts w:hint="default" w:ascii="Times New Roman" w:hAnsi="Times New Roman" w:eastAsia="仿宋_GB2312" w:cs="Times New Roman"/>
          <w:color w:val="auto"/>
          <w:spacing w:val="-7"/>
          <w:kern w:val="2"/>
          <w:sz w:val="32"/>
          <w:szCs w:val="32"/>
          <w:lang w:val="en-US" w:eastAsia="zh-CN" w:bidi="ar-SA"/>
        </w:rPr>
        <w:t>）报送至</w:t>
      </w:r>
      <w:r>
        <w:rPr>
          <w:rFonts w:hint="eastAsia" w:ascii="Times New Roman" w:hAnsi="Times New Roman" w:eastAsia="仿宋_GB2312" w:cs="Times New Roman"/>
          <w:color w:val="auto"/>
          <w:spacing w:val="-7"/>
          <w:kern w:val="2"/>
          <w:sz w:val="32"/>
          <w:szCs w:val="32"/>
          <w:lang w:val="en-US" w:eastAsia="zh-CN" w:bidi="ar-SA"/>
        </w:rPr>
        <w:t>区</w:t>
      </w:r>
      <w:r>
        <w:rPr>
          <w:rFonts w:hint="default" w:ascii="Times New Roman" w:hAnsi="Times New Roman" w:eastAsia="仿宋_GB2312" w:cs="Times New Roman"/>
          <w:color w:val="auto"/>
          <w:spacing w:val="-7"/>
          <w:kern w:val="2"/>
          <w:sz w:val="32"/>
          <w:szCs w:val="32"/>
          <w:lang w:val="en-US" w:eastAsia="zh-CN" w:bidi="ar-SA"/>
        </w:rPr>
        <w:t>卫生健康委</w:t>
      </w:r>
      <w:r>
        <w:rPr>
          <w:rFonts w:hint="eastAsia" w:ascii="Times New Roman" w:hAnsi="Times New Roman" w:eastAsia="仿宋_GB2312" w:cs="Times New Roman"/>
          <w:color w:val="auto"/>
          <w:spacing w:val="-7"/>
          <w:kern w:val="2"/>
          <w:sz w:val="32"/>
          <w:szCs w:val="32"/>
          <w:lang w:val="en-US" w:eastAsia="zh-CN" w:bidi="ar-SA"/>
        </w:rPr>
        <w:t>疾病预防控制室</w:t>
      </w:r>
      <w:r>
        <w:rPr>
          <w:rFonts w:hint="default" w:ascii="Times New Roman" w:hAnsi="Times New Roman" w:eastAsia="仿宋_GB2312" w:cs="Times New Roman"/>
          <w:color w:val="auto"/>
          <w:spacing w:val="-7"/>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568" w:firstLineChars="191"/>
        <w:jc w:val="both"/>
        <w:textAlignment w:val="auto"/>
        <w:rPr>
          <w:rFonts w:hint="default" w:ascii="仿宋_GB2312" w:hAnsi="仿宋_GB2312" w:eastAsia="仿宋_GB2312" w:cs="仿宋_GB2312"/>
          <w:b/>
          <w:bCs/>
          <w:color w:val="auto"/>
          <w:spacing w:val="-12"/>
          <w:sz w:val="32"/>
          <w:szCs w:val="32"/>
          <w:highlight w:val="none"/>
        </w:rPr>
      </w:pPr>
      <w:r>
        <w:rPr>
          <w:rFonts w:hint="default" w:ascii="仿宋_GB2312" w:hAnsi="仿宋_GB2312" w:eastAsia="仿宋_GB2312" w:cs="仿宋_GB2312"/>
          <w:b/>
          <w:bCs/>
          <w:color w:val="auto"/>
          <w:spacing w:val="-12"/>
          <w:sz w:val="32"/>
          <w:szCs w:val="32"/>
          <w:highlight w:val="none"/>
        </w:rPr>
        <w:t>2.制定治理方案</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r>
        <w:rPr>
          <w:rFonts w:hint="eastAsia" w:ascii="Times New Roman" w:hAnsi="Times New Roman" w:eastAsia="仿宋_GB2312" w:cs="Times New Roman"/>
          <w:color w:val="auto"/>
          <w:spacing w:val="-7"/>
          <w:kern w:val="2"/>
          <w:sz w:val="32"/>
          <w:szCs w:val="32"/>
          <w:lang w:val="en-US" w:eastAsia="zh-CN" w:bidi="ar-SA"/>
        </w:rPr>
        <w:t>泰达街、各开发区卫生健康管理部门和区卫生计生综合监督所</w:t>
      </w:r>
      <w:r>
        <w:rPr>
          <w:rFonts w:hint="default" w:ascii="Times New Roman" w:hAnsi="Times New Roman" w:eastAsia="仿宋_GB2312" w:cs="Times New Roman"/>
          <w:color w:val="auto"/>
          <w:spacing w:val="-7"/>
          <w:kern w:val="2"/>
          <w:sz w:val="32"/>
          <w:szCs w:val="32"/>
          <w:lang w:val="en-US" w:eastAsia="zh-CN" w:bidi="ar-SA"/>
        </w:rPr>
        <w:t>结合各自实际和治理企业情况，制定本</w:t>
      </w:r>
      <w:r>
        <w:rPr>
          <w:rFonts w:hint="eastAsia" w:ascii="Times New Roman" w:hAnsi="Times New Roman" w:eastAsia="仿宋_GB2312" w:cs="Times New Roman"/>
          <w:color w:val="auto"/>
          <w:spacing w:val="-7"/>
          <w:kern w:val="2"/>
          <w:sz w:val="32"/>
          <w:szCs w:val="32"/>
          <w:lang w:val="en-US" w:eastAsia="zh-CN" w:bidi="ar-SA"/>
        </w:rPr>
        <w:t>辖区或单位</w:t>
      </w:r>
      <w:r>
        <w:rPr>
          <w:rFonts w:hint="default" w:ascii="Times New Roman" w:hAnsi="Times New Roman" w:eastAsia="仿宋_GB2312" w:cs="Times New Roman"/>
          <w:color w:val="auto"/>
          <w:spacing w:val="-7"/>
          <w:kern w:val="2"/>
          <w:sz w:val="32"/>
          <w:szCs w:val="32"/>
          <w:lang w:val="en-US" w:eastAsia="zh-CN" w:bidi="ar-SA"/>
        </w:rPr>
        <w:t>专项治理工作方案，确定年度治理任务及目标，明确具体的治理方法、措施和要求，确保专项治理年度有</w:t>
      </w:r>
      <w:r>
        <w:rPr>
          <w:rFonts w:hint="eastAsia" w:ascii="Times New Roman" w:hAnsi="Times New Roman" w:eastAsia="仿宋_GB2312" w:cs="Times New Roman"/>
          <w:color w:val="auto"/>
          <w:spacing w:val="-7"/>
          <w:kern w:val="2"/>
          <w:sz w:val="32"/>
          <w:szCs w:val="32"/>
          <w:lang w:val="en-US" w:eastAsia="zh-CN" w:bidi="ar-SA"/>
        </w:rPr>
        <w:t>计划</w:t>
      </w:r>
      <w:r>
        <w:rPr>
          <w:rFonts w:hint="default" w:ascii="Times New Roman" w:hAnsi="Times New Roman" w:eastAsia="仿宋_GB2312" w:cs="Times New Roman"/>
          <w:color w:val="auto"/>
          <w:spacing w:val="-7"/>
          <w:kern w:val="2"/>
          <w:sz w:val="32"/>
          <w:szCs w:val="32"/>
          <w:lang w:val="en-US" w:eastAsia="zh-CN" w:bidi="ar-SA"/>
        </w:rPr>
        <w:t>、治理有目标。</w:t>
      </w:r>
    </w:p>
    <w:p>
      <w:pPr>
        <w:keepNext w:val="0"/>
        <w:keepLines w:val="0"/>
        <w:pageBreakBefore w:val="0"/>
        <w:widowControl w:val="0"/>
        <w:kinsoku/>
        <w:wordWrap/>
        <w:overflowPunct/>
        <w:topLinePunct w:val="0"/>
        <w:autoSpaceDE/>
        <w:autoSpaceDN/>
        <w:bidi w:val="0"/>
        <w:adjustRightInd/>
        <w:snapToGrid/>
        <w:spacing w:line="540" w:lineRule="exact"/>
        <w:ind w:firstLine="568" w:firstLineChars="191"/>
        <w:jc w:val="both"/>
        <w:textAlignment w:val="auto"/>
        <w:rPr>
          <w:rFonts w:hint="eastAsia" w:ascii="仿宋_GB2312" w:hAnsi="仿宋_GB2312" w:eastAsia="仿宋_GB2312" w:cs="仿宋_GB2312"/>
          <w:b/>
          <w:bCs/>
          <w:color w:val="auto"/>
          <w:spacing w:val="-12"/>
          <w:sz w:val="32"/>
          <w:szCs w:val="32"/>
          <w:highlight w:val="none"/>
          <w:lang w:val="en-US" w:eastAsia="zh-CN"/>
        </w:rPr>
      </w:pPr>
      <w:r>
        <w:rPr>
          <w:rFonts w:hint="eastAsia" w:ascii="仿宋_GB2312" w:hAnsi="仿宋_GB2312" w:eastAsia="仿宋_GB2312" w:cs="仿宋_GB2312"/>
          <w:b/>
          <w:bCs/>
          <w:color w:val="auto"/>
          <w:spacing w:val="-12"/>
          <w:sz w:val="32"/>
          <w:szCs w:val="32"/>
          <w:highlight w:val="none"/>
          <w:lang w:val="en-US" w:eastAsia="zh-CN"/>
        </w:rPr>
        <w:t>3.广泛宣教动员</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r>
        <w:rPr>
          <w:rFonts w:hint="eastAsia" w:ascii="Times New Roman" w:hAnsi="Times New Roman" w:eastAsia="仿宋_GB2312" w:cs="Times New Roman"/>
          <w:color w:val="auto"/>
          <w:spacing w:val="-7"/>
          <w:kern w:val="2"/>
          <w:sz w:val="32"/>
          <w:szCs w:val="32"/>
          <w:lang w:val="en-US" w:eastAsia="zh-CN" w:bidi="ar-SA"/>
        </w:rPr>
        <w:t>各辖区和有关单位要充分利用各种媒体平台，采取多种形式，加强对专项治理工作宣传报道，营造</w:t>
      </w:r>
      <w:r>
        <w:rPr>
          <w:rFonts w:hint="eastAsia" w:eastAsia="仿宋_GB2312" w:cs="Times New Roman"/>
          <w:color w:val="auto"/>
          <w:spacing w:val="-7"/>
          <w:kern w:val="2"/>
          <w:sz w:val="32"/>
          <w:szCs w:val="32"/>
          <w:lang w:val="en-US" w:eastAsia="zh-CN" w:bidi="ar-SA"/>
        </w:rPr>
        <w:t>良</w:t>
      </w:r>
      <w:r>
        <w:rPr>
          <w:rFonts w:hint="eastAsia" w:ascii="Times New Roman" w:hAnsi="Times New Roman" w:eastAsia="仿宋_GB2312" w:cs="Times New Roman"/>
          <w:color w:val="auto"/>
          <w:spacing w:val="-7"/>
          <w:kern w:val="2"/>
          <w:sz w:val="32"/>
          <w:szCs w:val="32"/>
          <w:lang w:val="en-US" w:eastAsia="zh-CN" w:bidi="ar-SA"/>
        </w:rPr>
        <w:t>好的治理工作氛围。要将专项治理工作传达到所有治理企业，通过组织召开企业负责人和职业卫生管理者培训会，讲解专项治理目标任务和工作措施要求，推动治理企业落实职业病防治主体责任，提高治理成效。</w:t>
      </w:r>
    </w:p>
    <w:p>
      <w:pPr>
        <w:keepNext w:val="0"/>
        <w:keepLines w:val="0"/>
        <w:pageBreakBefore w:val="0"/>
        <w:widowControl w:val="0"/>
        <w:kinsoku/>
        <w:wordWrap/>
        <w:overflowPunct/>
        <w:topLinePunct w:val="0"/>
        <w:autoSpaceDE/>
        <w:autoSpaceDN/>
        <w:bidi w:val="0"/>
        <w:adjustRightInd/>
        <w:snapToGrid/>
        <w:spacing w:line="540" w:lineRule="exact"/>
        <w:ind w:firstLine="565" w:firstLineChars="191"/>
        <w:jc w:val="both"/>
        <w:textAlignment w:val="auto"/>
        <w:rPr>
          <w:rFonts w:ascii="Times New Roman" w:hAnsi="Times New Roman" w:eastAsia="仿宋_GB2312" w:cs="Times New Roman"/>
          <w:color w:val="auto"/>
          <w:spacing w:val="-12"/>
          <w:sz w:val="32"/>
          <w:szCs w:val="32"/>
        </w:rPr>
      </w:pPr>
      <w:r>
        <w:rPr>
          <w:rFonts w:hint="default" w:ascii="Times New Roman" w:hAnsi="Times New Roman" w:eastAsia="楷体_GB2312" w:cs="Times New Roman"/>
          <w:color w:val="auto"/>
          <w:spacing w:val="-12"/>
          <w:sz w:val="32"/>
          <w:szCs w:val="32"/>
        </w:rPr>
        <w:t>（</w:t>
      </w:r>
      <w:bookmarkEnd w:id="4"/>
      <w:r>
        <w:rPr>
          <w:rFonts w:hint="default" w:ascii="Times New Roman" w:hAnsi="Times New Roman" w:eastAsia="楷体_GB2312" w:cs="Times New Roman"/>
          <w:color w:val="auto"/>
          <w:spacing w:val="-12"/>
          <w:sz w:val="32"/>
          <w:szCs w:val="32"/>
        </w:rPr>
        <w:t>二）治理整改阶段（2022年</w:t>
      </w:r>
      <w:r>
        <w:rPr>
          <w:rFonts w:hint="eastAsia" w:eastAsia="楷体_GB2312" w:cs="Times New Roman"/>
          <w:color w:val="auto"/>
          <w:spacing w:val="-12"/>
          <w:sz w:val="32"/>
          <w:szCs w:val="32"/>
          <w:lang w:val="en-US" w:eastAsia="zh-CN"/>
        </w:rPr>
        <w:t>8</w:t>
      </w:r>
      <w:r>
        <w:rPr>
          <w:rFonts w:hint="default" w:ascii="Times New Roman" w:hAnsi="Times New Roman" w:eastAsia="楷体_GB2312" w:cs="Times New Roman"/>
          <w:color w:val="auto"/>
          <w:spacing w:val="-12"/>
          <w:sz w:val="32"/>
          <w:szCs w:val="32"/>
        </w:rPr>
        <w:t>月—2025年6月）</w:t>
      </w:r>
    </w:p>
    <w:p>
      <w:pPr>
        <w:keepNext w:val="0"/>
        <w:keepLines w:val="0"/>
        <w:pageBreakBefore w:val="0"/>
        <w:widowControl w:val="0"/>
        <w:kinsoku/>
        <w:wordWrap/>
        <w:overflowPunct/>
        <w:topLinePunct w:val="0"/>
        <w:autoSpaceDE/>
        <w:autoSpaceDN/>
        <w:bidi w:val="0"/>
        <w:adjustRightInd/>
        <w:snapToGrid/>
        <w:spacing w:line="540" w:lineRule="exact"/>
        <w:ind w:firstLine="568" w:firstLineChars="191"/>
        <w:jc w:val="both"/>
        <w:textAlignment w:val="auto"/>
        <w:rPr>
          <w:rFonts w:hint="eastAsia" w:ascii="仿宋_GB2312" w:hAnsi="仿宋_GB2312" w:eastAsia="仿宋_GB2312" w:cs="仿宋_GB2312"/>
          <w:b/>
          <w:bCs/>
          <w:color w:val="auto"/>
          <w:spacing w:val="-12"/>
          <w:sz w:val="32"/>
          <w:szCs w:val="32"/>
          <w:highlight w:val="none"/>
          <w:lang w:val="en-US" w:eastAsia="zh-CN"/>
        </w:rPr>
      </w:pPr>
      <w:r>
        <w:rPr>
          <w:rFonts w:hint="default" w:ascii="仿宋_GB2312" w:hAnsi="仿宋_GB2312" w:eastAsia="仿宋_GB2312" w:cs="仿宋_GB2312"/>
          <w:b/>
          <w:bCs/>
          <w:color w:val="auto"/>
          <w:spacing w:val="-12"/>
          <w:sz w:val="32"/>
          <w:szCs w:val="32"/>
          <w:highlight w:val="none"/>
          <w:lang w:val="en-US" w:eastAsia="zh-CN"/>
        </w:rPr>
        <w:t>1.开展治理整改</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（1）工作场所职业病危害因素检测</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近三年未开展职业病危害因素定期检测的治理企业，应按照《中华人民共和国职业病防治法》《工作场所职业卫生管理规定》等法律、法规要求，委托具有资质的职业卫生技术服务机构开展工作场所职业病危害因素定期检测，掌握职业病危害因素种类及浓度（强度）。</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（2）职业病危害因素超标岗位治理</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存在粉尘、化学毒物、噪声岗位超标的治理企业应针对超标岗位制定切实可行的整改方案，整改方案应当包括超标岗位名称、超标原因、整改措施、整改时限和资金投入等。整改措施应以落实工程防护措施为关键，加大对现有设备设施升级改造力度，积极使用新技术、新工艺、新材料，提高设备机械化、自动化水平，淘汰落后工艺、设备和材料。整改方案</w:t>
      </w:r>
      <w:r>
        <w:rPr>
          <w:rFonts w:hint="eastAsia" w:ascii="Times New Roman" w:hAnsi="Times New Roman" w:eastAsia="仿宋_GB2312" w:cs="Times New Roman"/>
          <w:color w:val="auto"/>
          <w:spacing w:val="-7"/>
          <w:kern w:val="2"/>
          <w:sz w:val="32"/>
          <w:szCs w:val="32"/>
          <w:lang w:val="en-US" w:eastAsia="zh-CN" w:bidi="ar-SA"/>
        </w:rPr>
        <w:t>上报辖区职业健康卫生监督部门备案。</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完成超标岗位专项治理的企业应委托具有资质的职业卫生技术服务机构对治理岗位进行职业病危害因素检测，并出具治理岗位职业病危害因素检测与治理效果评价报告。</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工作场所治理岗位的职业病危害因素浓（强）度达到职业卫生接触限值要求的，判定为治理达标。对于治理后职业病危害因素仍超标，但采取了个人防护用品等管理措施，经评价为管理措施有效、能够满足防护要求的，依据出具职业病危害因素检测与治理效果评价报告，判定为治理达标；经评价判定为管理措施无效的治理企业需继续整改。对于治理后职业病危害因素仍超标且整改无望的治理企业，评价为治理不达标企业。</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治理企业应在职业病危害项目申报系统专项治理模块中提交评价报告、检测报告等相关材料。</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（3）职业健康检查</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治理企业应按照《用人单位职业健康监护监督管理办法》《职业健康监护技术规范》（GBZ188）的规定和要求，委托具备开展职业健康检查且在天津市卫生健康委完成备案的职业健康检查机构，对接触职业病危害因素劳动者进行职业健康检查（包括上岗前职业健康检查、在岗期间职业健康检查和离岗时职业健康检查）。</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（4）职业病危害项目申报</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治理企业应登录职业病危害项目申报系统（</w:t>
      </w:r>
      <w:r>
        <w:rPr>
          <w:rFonts w:hint="eastAsia" w:ascii="Times New Roman" w:hAnsi="Times New Roman" w:eastAsia="仿宋_GB2312" w:cs="Times New Roman"/>
          <w:color w:val="auto"/>
          <w:spacing w:val="-7"/>
          <w:kern w:val="2"/>
          <w:sz w:val="32"/>
          <w:szCs w:val="32"/>
          <w:lang w:val="en-US" w:eastAsia="zh-CN" w:bidi="ar-SA"/>
        </w:rPr>
        <w:t>网址：</w:t>
      </w:r>
      <w:r>
        <w:rPr>
          <w:rFonts w:hint="default" w:ascii="Times New Roman" w:hAnsi="Times New Roman" w:eastAsia="仿宋_GB2312" w:cs="Times New Roman"/>
          <w:color w:val="auto"/>
          <w:spacing w:val="-7"/>
          <w:kern w:val="2"/>
          <w:sz w:val="32"/>
          <w:szCs w:val="32"/>
          <w:lang w:val="en-US" w:eastAsia="zh-CN" w:bidi="ar-SA"/>
        </w:rPr>
        <w:t>www.zybwhsb.com</w:t>
      </w:r>
      <w:r>
        <w:rPr>
          <w:rFonts w:hint="eastAsia" w:ascii="Times New Roman" w:hAnsi="Times New Roman" w:eastAsia="仿宋_GB2312" w:cs="Times New Roman"/>
          <w:color w:val="auto"/>
          <w:spacing w:val="-7"/>
          <w:kern w:val="2"/>
          <w:sz w:val="32"/>
          <w:szCs w:val="32"/>
          <w:lang w:val="en-US" w:eastAsia="zh-CN" w:bidi="ar-SA"/>
        </w:rPr>
        <w:t>，具体注册和申报流程参见申报系统首页企业版操作手册</w:t>
      </w:r>
      <w:r>
        <w:rPr>
          <w:rFonts w:hint="default" w:ascii="Times New Roman" w:hAnsi="Times New Roman" w:eastAsia="仿宋_GB2312" w:cs="Times New Roman"/>
          <w:color w:val="auto"/>
          <w:spacing w:val="-7"/>
          <w:kern w:val="2"/>
          <w:sz w:val="32"/>
          <w:szCs w:val="32"/>
          <w:lang w:val="en-US" w:eastAsia="zh-CN" w:bidi="ar-SA"/>
        </w:rPr>
        <w:t>）</w:t>
      </w:r>
      <w:r>
        <w:rPr>
          <w:rFonts w:hint="eastAsia" w:ascii="Times New Roman" w:hAnsi="Times New Roman" w:eastAsia="仿宋_GB2312" w:cs="Times New Roman"/>
          <w:color w:val="auto"/>
          <w:spacing w:val="-7"/>
          <w:kern w:val="2"/>
          <w:sz w:val="32"/>
          <w:szCs w:val="32"/>
          <w:lang w:val="en-US" w:eastAsia="zh-CN" w:bidi="ar-SA"/>
        </w:rPr>
        <w:t>，</w:t>
      </w:r>
      <w:r>
        <w:rPr>
          <w:rFonts w:hint="default" w:ascii="Times New Roman" w:hAnsi="Times New Roman" w:eastAsia="仿宋_GB2312" w:cs="Times New Roman"/>
          <w:color w:val="auto"/>
          <w:spacing w:val="-7"/>
          <w:kern w:val="2"/>
          <w:sz w:val="32"/>
          <w:szCs w:val="32"/>
          <w:lang w:val="en-US" w:eastAsia="zh-CN" w:bidi="ar-SA"/>
        </w:rPr>
        <w:t>完成企业信息注册，并在线填写企业基本信息、职业卫生培训情况、主要产品、职业病危害因素种类、职业病危害因素检测情况、职业健康监护开展情况等，完成申报信息上传，通过卫生健康</w:t>
      </w:r>
      <w:r>
        <w:rPr>
          <w:rFonts w:hint="eastAsia" w:ascii="Times New Roman" w:hAnsi="Times New Roman" w:eastAsia="仿宋_GB2312" w:cs="Times New Roman"/>
          <w:color w:val="auto"/>
          <w:spacing w:val="-7"/>
          <w:kern w:val="2"/>
          <w:sz w:val="32"/>
          <w:szCs w:val="32"/>
          <w:lang w:val="en-US" w:eastAsia="zh-CN" w:bidi="ar-SA"/>
        </w:rPr>
        <w:t>管理部门</w:t>
      </w:r>
      <w:r>
        <w:rPr>
          <w:rFonts w:hint="default" w:ascii="Times New Roman" w:hAnsi="Times New Roman" w:eastAsia="仿宋_GB2312" w:cs="Times New Roman"/>
          <w:color w:val="auto"/>
          <w:spacing w:val="-7"/>
          <w:kern w:val="2"/>
          <w:sz w:val="32"/>
          <w:szCs w:val="32"/>
          <w:lang w:val="en-US" w:eastAsia="zh-CN" w:bidi="ar-SA"/>
        </w:rPr>
        <w:t>审核即为完成职业病危害项目申报。</w:t>
      </w:r>
      <w:r>
        <w:rPr>
          <w:rFonts w:hint="eastAsia" w:ascii="Times New Roman" w:hAnsi="Times New Roman" w:eastAsia="仿宋_GB2312" w:cs="Times New Roman"/>
          <w:color w:val="auto"/>
          <w:spacing w:val="-7"/>
          <w:kern w:val="2"/>
          <w:sz w:val="32"/>
          <w:szCs w:val="32"/>
          <w:lang w:val="en-US" w:eastAsia="zh-CN" w:bidi="ar-SA"/>
        </w:rPr>
        <w:t>已完成</w:t>
      </w:r>
      <w:r>
        <w:rPr>
          <w:rFonts w:hint="default" w:ascii="Times New Roman" w:hAnsi="Times New Roman" w:eastAsia="仿宋_GB2312" w:cs="Times New Roman"/>
          <w:color w:val="auto"/>
          <w:spacing w:val="-7"/>
          <w:kern w:val="2"/>
          <w:sz w:val="32"/>
          <w:szCs w:val="32"/>
          <w:lang w:val="en-US" w:eastAsia="zh-CN" w:bidi="ar-SA"/>
        </w:rPr>
        <w:t>职业病危害项目</w:t>
      </w:r>
      <w:r>
        <w:rPr>
          <w:rFonts w:hint="eastAsia" w:ascii="Times New Roman" w:hAnsi="Times New Roman" w:eastAsia="仿宋_GB2312" w:cs="Times New Roman"/>
          <w:color w:val="auto"/>
          <w:spacing w:val="-7"/>
          <w:kern w:val="2"/>
          <w:sz w:val="32"/>
          <w:szCs w:val="32"/>
          <w:lang w:val="en-US" w:eastAsia="zh-CN" w:bidi="ar-SA"/>
        </w:rPr>
        <w:t>系统申报的治理企业，</w:t>
      </w:r>
      <w:r>
        <w:rPr>
          <w:rFonts w:hint="default" w:ascii="Times New Roman" w:hAnsi="Times New Roman" w:eastAsia="仿宋_GB2312" w:cs="Times New Roman"/>
          <w:color w:val="auto"/>
          <w:spacing w:val="-7"/>
          <w:kern w:val="2"/>
          <w:sz w:val="32"/>
          <w:szCs w:val="32"/>
          <w:lang w:val="en-US" w:eastAsia="zh-CN" w:bidi="ar-SA"/>
        </w:rPr>
        <w:t>每年要对申报内容进行年度更新，申报年度</w:t>
      </w:r>
      <w:r>
        <w:rPr>
          <w:rFonts w:hint="eastAsia" w:ascii="Times New Roman" w:hAnsi="Times New Roman" w:eastAsia="仿宋_GB2312" w:cs="Times New Roman"/>
          <w:color w:val="auto"/>
          <w:spacing w:val="-7"/>
          <w:kern w:val="2"/>
          <w:sz w:val="32"/>
          <w:szCs w:val="32"/>
          <w:lang w:val="en-US" w:eastAsia="zh-CN" w:bidi="ar-SA"/>
        </w:rPr>
        <w:t>更新</w:t>
      </w:r>
      <w:r>
        <w:rPr>
          <w:rFonts w:hint="default" w:ascii="Times New Roman" w:hAnsi="Times New Roman" w:eastAsia="仿宋_GB2312" w:cs="Times New Roman"/>
          <w:color w:val="auto"/>
          <w:spacing w:val="-7"/>
          <w:kern w:val="2"/>
          <w:sz w:val="32"/>
          <w:szCs w:val="32"/>
          <w:lang w:val="en-US" w:eastAsia="zh-CN" w:bidi="ar-SA"/>
        </w:rPr>
        <w:t>周期</w:t>
      </w:r>
      <w:r>
        <w:rPr>
          <w:rFonts w:hint="eastAsia" w:ascii="Times New Roman" w:hAnsi="Times New Roman" w:eastAsia="仿宋_GB2312" w:cs="Times New Roman"/>
          <w:color w:val="auto"/>
          <w:spacing w:val="-7"/>
          <w:kern w:val="2"/>
          <w:sz w:val="32"/>
          <w:szCs w:val="32"/>
          <w:lang w:val="en-US" w:eastAsia="zh-CN" w:bidi="ar-SA"/>
        </w:rPr>
        <w:t>应不</w:t>
      </w:r>
      <w:r>
        <w:rPr>
          <w:rFonts w:hint="default" w:ascii="Times New Roman" w:hAnsi="Times New Roman" w:eastAsia="仿宋_GB2312" w:cs="Times New Roman"/>
          <w:color w:val="auto"/>
          <w:spacing w:val="-7"/>
          <w:kern w:val="2"/>
          <w:sz w:val="32"/>
          <w:szCs w:val="32"/>
          <w:lang w:val="en-US" w:eastAsia="zh-CN" w:bidi="ar-SA"/>
        </w:rPr>
        <w:t>超过13个月</w:t>
      </w:r>
      <w:r>
        <w:rPr>
          <w:rFonts w:hint="eastAsia" w:ascii="Times New Roman" w:hAnsi="Times New Roman" w:eastAsia="仿宋_GB2312" w:cs="Times New Roman"/>
          <w:color w:val="auto"/>
          <w:spacing w:val="-7"/>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568" w:firstLineChars="191"/>
        <w:jc w:val="both"/>
        <w:textAlignment w:val="auto"/>
        <w:rPr>
          <w:rFonts w:hint="eastAsia" w:ascii="仿宋_GB2312" w:hAnsi="仿宋_GB2312" w:eastAsia="仿宋_GB2312" w:cs="仿宋_GB2312"/>
          <w:b/>
          <w:bCs/>
          <w:color w:val="auto"/>
          <w:spacing w:val="-12"/>
          <w:sz w:val="32"/>
          <w:szCs w:val="32"/>
          <w:lang w:val="en-US" w:eastAsia="zh-CN"/>
        </w:rPr>
      </w:pPr>
      <w:r>
        <w:rPr>
          <w:rFonts w:hint="eastAsia" w:ascii="仿宋_GB2312" w:hAnsi="仿宋_GB2312" w:eastAsia="仿宋_GB2312" w:cs="仿宋_GB2312"/>
          <w:b/>
          <w:bCs/>
          <w:color w:val="auto"/>
          <w:spacing w:val="-12"/>
          <w:sz w:val="32"/>
          <w:szCs w:val="32"/>
          <w:lang w:val="en-US" w:eastAsia="zh-CN"/>
        </w:rPr>
        <w:t>2.开展企业帮扶</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bookmarkStart w:id="5" w:name="bookmark14"/>
      <w:bookmarkEnd w:id="5"/>
      <w:r>
        <w:rPr>
          <w:rFonts w:hint="eastAsia" w:ascii="Times New Roman" w:hAnsi="Times New Roman" w:eastAsia="仿宋_GB2312" w:cs="Times New Roman"/>
          <w:color w:val="auto"/>
          <w:spacing w:val="-7"/>
          <w:kern w:val="2"/>
          <w:sz w:val="32"/>
          <w:szCs w:val="32"/>
          <w:lang w:val="en-US" w:eastAsia="zh-CN" w:bidi="ar-SA"/>
        </w:rPr>
        <w:t>泰达街、各开发区卫生健康管理部门和区卫生计生综合监督所</w:t>
      </w:r>
      <w:r>
        <w:rPr>
          <w:rFonts w:hint="default" w:ascii="Times New Roman" w:hAnsi="Times New Roman" w:eastAsia="仿宋_GB2312" w:cs="Times New Roman"/>
          <w:color w:val="auto"/>
          <w:spacing w:val="-7"/>
          <w:kern w:val="2"/>
          <w:sz w:val="32"/>
          <w:szCs w:val="32"/>
          <w:lang w:val="en-US" w:eastAsia="zh-CN" w:bidi="ar-SA"/>
        </w:rPr>
        <w:t>应每年选取</w:t>
      </w:r>
      <w:r>
        <w:rPr>
          <w:rFonts w:hint="eastAsia" w:ascii="Times New Roman" w:hAnsi="Times New Roman" w:eastAsia="仿宋_GB2312" w:cs="Times New Roman"/>
          <w:color w:val="auto"/>
          <w:spacing w:val="-7"/>
          <w:kern w:val="2"/>
          <w:sz w:val="32"/>
          <w:szCs w:val="32"/>
          <w:lang w:val="en-US" w:eastAsia="zh-CN" w:bidi="ar-SA"/>
        </w:rPr>
        <w:t>1</w:t>
      </w:r>
      <w:r>
        <w:rPr>
          <w:rFonts w:hint="default" w:ascii="Times New Roman" w:hAnsi="Times New Roman" w:eastAsia="仿宋_GB2312" w:cs="Times New Roman"/>
          <w:color w:val="auto"/>
          <w:spacing w:val="-7"/>
          <w:kern w:val="2"/>
          <w:sz w:val="32"/>
          <w:szCs w:val="32"/>
          <w:lang w:val="en-US" w:eastAsia="zh-CN" w:bidi="ar-SA"/>
        </w:rPr>
        <w:t>-</w:t>
      </w:r>
      <w:r>
        <w:rPr>
          <w:rFonts w:hint="eastAsia" w:ascii="Times New Roman" w:hAnsi="Times New Roman" w:eastAsia="仿宋_GB2312" w:cs="Times New Roman"/>
          <w:color w:val="auto"/>
          <w:spacing w:val="-7"/>
          <w:kern w:val="2"/>
          <w:sz w:val="32"/>
          <w:szCs w:val="32"/>
          <w:lang w:val="en-US" w:eastAsia="zh-CN" w:bidi="ar-SA"/>
        </w:rPr>
        <w:t>2</w:t>
      </w:r>
      <w:r>
        <w:rPr>
          <w:rFonts w:hint="default" w:ascii="Times New Roman" w:hAnsi="Times New Roman" w:eastAsia="仿宋_GB2312" w:cs="Times New Roman"/>
          <w:color w:val="auto"/>
          <w:spacing w:val="-7"/>
          <w:kern w:val="2"/>
          <w:sz w:val="32"/>
          <w:szCs w:val="32"/>
          <w:lang w:val="en-US" w:eastAsia="zh-CN" w:bidi="ar-SA"/>
        </w:rPr>
        <w:t>家中小微型企业作为帮扶对象，积极探索职业健康托管式服务、“一企一策”精准指导等职业健康帮扶模式，开展中小微企业职业病防治专项治理帮扶。</w:t>
      </w:r>
    </w:p>
    <w:p>
      <w:pPr>
        <w:keepNext w:val="0"/>
        <w:keepLines w:val="0"/>
        <w:pageBreakBefore w:val="0"/>
        <w:widowControl w:val="0"/>
        <w:kinsoku/>
        <w:wordWrap/>
        <w:overflowPunct/>
        <w:topLinePunct w:val="0"/>
        <w:autoSpaceDE/>
        <w:autoSpaceDN/>
        <w:bidi w:val="0"/>
        <w:adjustRightInd/>
        <w:snapToGrid/>
        <w:spacing w:line="540" w:lineRule="exact"/>
        <w:ind w:firstLine="568" w:firstLineChars="191"/>
        <w:jc w:val="both"/>
        <w:textAlignment w:val="auto"/>
        <w:rPr>
          <w:rFonts w:hint="eastAsia" w:ascii="仿宋_GB2312" w:hAnsi="仿宋_GB2312" w:eastAsia="仿宋_GB2312" w:cs="仿宋_GB2312"/>
          <w:b/>
          <w:bCs/>
          <w:color w:val="auto"/>
          <w:spacing w:val="-12"/>
          <w:sz w:val="32"/>
          <w:szCs w:val="32"/>
          <w:lang w:val="en-US" w:eastAsia="zh-CN"/>
        </w:rPr>
      </w:pPr>
      <w:r>
        <w:rPr>
          <w:rFonts w:hint="default" w:ascii="仿宋_GB2312" w:hAnsi="仿宋_GB2312" w:eastAsia="仿宋_GB2312" w:cs="仿宋_GB2312"/>
          <w:b/>
          <w:bCs/>
          <w:color w:val="auto"/>
          <w:spacing w:val="-12"/>
          <w:sz w:val="32"/>
          <w:szCs w:val="32"/>
          <w:lang w:val="en-US" w:eastAsia="zh-CN"/>
        </w:rPr>
        <w:t>3.开展</w:t>
      </w:r>
      <w:r>
        <w:rPr>
          <w:rFonts w:hint="eastAsia" w:ascii="仿宋_GB2312" w:hAnsi="仿宋_GB2312" w:eastAsia="仿宋_GB2312" w:cs="仿宋_GB2312"/>
          <w:b/>
          <w:bCs/>
          <w:color w:val="auto"/>
          <w:spacing w:val="-12"/>
          <w:sz w:val="32"/>
          <w:szCs w:val="32"/>
          <w:lang w:val="en-US" w:eastAsia="zh-CN"/>
        </w:rPr>
        <w:t>监督</w:t>
      </w:r>
      <w:r>
        <w:rPr>
          <w:rFonts w:hint="default" w:ascii="仿宋_GB2312" w:hAnsi="仿宋_GB2312" w:eastAsia="仿宋_GB2312" w:cs="仿宋_GB2312"/>
          <w:b/>
          <w:bCs/>
          <w:color w:val="auto"/>
          <w:spacing w:val="-12"/>
          <w:sz w:val="32"/>
          <w:szCs w:val="32"/>
          <w:lang w:val="en-US" w:eastAsia="zh-CN"/>
        </w:rPr>
        <w:t>指导</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r>
        <w:rPr>
          <w:rFonts w:hint="eastAsia" w:ascii="Times New Roman" w:hAnsi="Times New Roman" w:eastAsia="仿宋_GB2312" w:cs="Times New Roman"/>
          <w:color w:val="auto"/>
          <w:spacing w:val="-7"/>
          <w:kern w:val="2"/>
          <w:sz w:val="32"/>
          <w:szCs w:val="32"/>
          <w:lang w:val="en-US" w:eastAsia="zh-CN" w:bidi="ar-SA"/>
        </w:rPr>
        <w:t>泰达街、各开发区卫生健康管理部门和区卫生计生综合监督所</w:t>
      </w:r>
      <w:r>
        <w:rPr>
          <w:rFonts w:hint="default" w:ascii="Times New Roman" w:hAnsi="Times New Roman" w:eastAsia="仿宋_GB2312" w:cs="Times New Roman"/>
          <w:color w:val="auto"/>
          <w:spacing w:val="-7"/>
          <w:kern w:val="2"/>
          <w:sz w:val="32"/>
          <w:szCs w:val="32"/>
          <w:lang w:val="en-US" w:eastAsia="zh-CN" w:bidi="ar-SA"/>
        </w:rPr>
        <w:t>负责</w:t>
      </w:r>
      <w:r>
        <w:rPr>
          <w:rFonts w:hint="eastAsia" w:ascii="Times New Roman" w:hAnsi="Times New Roman" w:eastAsia="仿宋_GB2312" w:cs="Times New Roman"/>
          <w:color w:val="auto"/>
          <w:spacing w:val="-7"/>
          <w:kern w:val="2"/>
          <w:sz w:val="32"/>
          <w:szCs w:val="32"/>
          <w:lang w:val="en-US" w:eastAsia="zh-CN" w:bidi="ar-SA"/>
        </w:rPr>
        <w:t>各自辖</w:t>
      </w:r>
      <w:r>
        <w:rPr>
          <w:rFonts w:hint="default" w:ascii="Times New Roman" w:hAnsi="Times New Roman" w:eastAsia="仿宋_GB2312" w:cs="Times New Roman"/>
          <w:color w:val="auto"/>
          <w:spacing w:val="-7"/>
          <w:kern w:val="2"/>
          <w:sz w:val="32"/>
          <w:szCs w:val="32"/>
          <w:lang w:val="en-US" w:eastAsia="zh-CN" w:bidi="ar-SA"/>
        </w:rPr>
        <w:t>区职业病危害专项治理工作的组织实施</w:t>
      </w:r>
      <w:r>
        <w:rPr>
          <w:rFonts w:hint="eastAsia" w:ascii="Times New Roman" w:hAnsi="Times New Roman" w:eastAsia="仿宋_GB2312" w:cs="Times New Roman"/>
          <w:color w:val="auto"/>
          <w:spacing w:val="-7"/>
          <w:kern w:val="2"/>
          <w:sz w:val="32"/>
          <w:szCs w:val="32"/>
          <w:lang w:val="en-US" w:eastAsia="zh-CN" w:bidi="ar-SA"/>
        </w:rPr>
        <w:t>，及时督促指导治理企业开展专项治理，</w:t>
      </w:r>
      <w:r>
        <w:rPr>
          <w:rFonts w:hint="default" w:ascii="Times New Roman" w:hAnsi="Times New Roman" w:eastAsia="仿宋_GB2312" w:cs="Times New Roman"/>
          <w:color w:val="auto"/>
          <w:spacing w:val="-7"/>
          <w:kern w:val="2"/>
          <w:sz w:val="32"/>
          <w:szCs w:val="32"/>
          <w:lang w:val="en-US" w:eastAsia="zh-CN" w:bidi="ar-SA"/>
        </w:rPr>
        <w:t>掌握本</w:t>
      </w:r>
      <w:r>
        <w:rPr>
          <w:rFonts w:hint="eastAsia" w:ascii="Times New Roman" w:hAnsi="Times New Roman" w:eastAsia="仿宋_GB2312" w:cs="Times New Roman"/>
          <w:color w:val="auto"/>
          <w:spacing w:val="-7"/>
          <w:kern w:val="2"/>
          <w:sz w:val="32"/>
          <w:szCs w:val="32"/>
          <w:lang w:val="en-US" w:eastAsia="zh-CN" w:bidi="ar-SA"/>
        </w:rPr>
        <w:t>辖</w:t>
      </w:r>
      <w:r>
        <w:rPr>
          <w:rFonts w:hint="default" w:ascii="Times New Roman" w:hAnsi="Times New Roman" w:eastAsia="仿宋_GB2312" w:cs="Times New Roman"/>
          <w:color w:val="auto"/>
          <w:spacing w:val="-7"/>
          <w:kern w:val="2"/>
          <w:sz w:val="32"/>
          <w:szCs w:val="32"/>
          <w:lang w:val="en-US" w:eastAsia="zh-CN" w:bidi="ar-SA"/>
        </w:rPr>
        <w:t>区专项治理工作进展情况</w:t>
      </w:r>
      <w:r>
        <w:rPr>
          <w:rFonts w:hint="eastAsia" w:ascii="Times New Roman" w:hAnsi="Times New Roman" w:eastAsia="仿宋_GB2312" w:cs="Times New Roman"/>
          <w:color w:val="auto"/>
          <w:spacing w:val="-7"/>
          <w:kern w:val="2"/>
          <w:sz w:val="32"/>
          <w:szCs w:val="32"/>
          <w:lang w:val="en-US" w:eastAsia="zh-CN" w:bidi="ar-SA"/>
        </w:rPr>
        <w:t>。</w:t>
      </w:r>
      <w:r>
        <w:rPr>
          <w:rFonts w:hint="default" w:ascii="Times New Roman" w:hAnsi="Times New Roman" w:eastAsia="仿宋_GB2312" w:cs="Times New Roman"/>
          <w:color w:val="auto"/>
          <w:spacing w:val="-7"/>
          <w:kern w:val="2"/>
          <w:sz w:val="32"/>
          <w:szCs w:val="32"/>
          <w:lang w:val="en-US" w:eastAsia="zh-CN" w:bidi="ar-SA"/>
        </w:rPr>
        <w:t>对治理积极、成效显著的治理企业，鼓励其持续改进提高；对治理不到位的企业，督促其加大治理力度；对于治理后职业病危害因素仍超标且整改无望的治理企业，要依法停止相关作业或提请</w:t>
      </w:r>
      <w:r>
        <w:rPr>
          <w:rFonts w:hint="eastAsia" w:ascii="Times New Roman" w:hAnsi="Times New Roman" w:eastAsia="仿宋_GB2312" w:cs="Times New Roman"/>
          <w:color w:val="auto"/>
          <w:spacing w:val="-7"/>
          <w:kern w:val="2"/>
          <w:sz w:val="32"/>
          <w:szCs w:val="32"/>
          <w:lang w:val="en-US" w:eastAsia="zh-CN" w:bidi="ar-SA"/>
        </w:rPr>
        <w:t>当地</w:t>
      </w:r>
      <w:r>
        <w:rPr>
          <w:rFonts w:hint="default" w:ascii="Times New Roman" w:hAnsi="Times New Roman" w:eastAsia="仿宋_GB2312" w:cs="Times New Roman"/>
          <w:color w:val="auto"/>
          <w:spacing w:val="-7"/>
          <w:kern w:val="2"/>
          <w:sz w:val="32"/>
          <w:szCs w:val="32"/>
          <w:lang w:val="en-US" w:eastAsia="zh-CN" w:bidi="ar-SA"/>
        </w:rPr>
        <w:t>政府予以关闭。</w:t>
      </w:r>
    </w:p>
    <w:p>
      <w:pPr>
        <w:keepNext w:val="0"/>
        <w:keepLines w:val="0"/>
        <w:pageBreakBefore w:val="0"/>
        <w:widowControl w:val="0"/>
        <w:kinsoku/>
        <w:wordWrap/>
        <w:overflowPunct/>
        <w:topLinePunct w:val="0"/>
        <w:autoSpaceDE/>
        <w:autoSpaceDN/>
        <w:bidi w:val="0"/>
        <w:adjustRightInd/>
        <w:snapToGrid/>
        <w:spacing w:line="540" w:lineRule="exact"/>
        <w:ind w:firstLine="568" w:firstLineChars="191"/>
        <w:jc w:val="both"/>
        <w:textAlignment w:val="auto"/>
        <w:rPr>
          <w:rFonts w:hint="eastAsia" w:ascii="仿宋_GB2312" w:hAnsi="仿宋_GB2312" w:eastAsia="仿宋_GB2312" w:cs="仿宋_GB2312"/>
          <w:b/>
          <w:bCs/>
          <w:color w:val="auto"/>
          <w:spacing w:val="-12"/>
          <w:sz w:val="32"/>
          <w:szCs w:val="32"/>
          <w:lang w:val="en-US" w:eastAsia="zh-CN"/>
        </w:rPr>
      </w:pPr>
      <w:r>
        <w:rPr>
          <w:rFonts w:hint="eastAsia" w:ascii="仿宋_GB2312" w:hAnsi="仿宋_GB2312" w:eastAsia="仿宋_GB2312" w:cs="仿宋_GB2312"/>
          <w:b/>
          <w:bCs/>
          <w:color w:val="auto"/>
          <w:spacing w:val="-12"/>
          <w:sz w:val="32"/>
          <w:szCs w:val="32"/>
          <w:lang w:val="en-US" w:eastAsia="zh-CN"/>
        </w:rPr>
        <w:t>4.加强信息报送</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r>
        <w:rPr>
          <w:rFonts w:hint="eastAsia" w:ascii="Times New Roman" w:hAnsi="Times New Roman" w:eastAsia="仿宋_GB2312" w:cs="Times New Roman"/>
          <w:color w:val="auto"/>
          <w:spacing w:val="-7"/>
          <w:kern w:val="2"/>
          <w:sz w:val="32"/>
          <w:szCs w:val="32"/>
          <w:lang w:val="en-US" w:eastAsia="zh-CN" w:bidi="ar-SA"/>
        </w:rPr>
        <w:t>区疾控中心对于工作场所职业病危害因素监测工作中发现的检测结果异常信息和获取的职业病病例信息，要及时通报区卫生健康委疾控室分发至各辖区和相关单位，</w:t>
      </w:r>
      <w:r>
        <w:rPr>
          <w:rFonts w:hint="eastAsia" w:eastAsia="仿宋_GB2312" w:cs="Times New Roman"/>
          <w:color w:val="auto"/>
          <w:spacing w:val="-7"/>
          <w:kern w:val="2"/>
          <w:sz w:val="32"/>
          <w:szCs w:val="32"/>
          <w:lang w:val="en-US" w:eastAsia="zh-CN" w:bidi="ar-SA"/>
        </w:rPr>
        <w:t>相关企业</w:t>
      </w:r>
      <w:r>
        <w:rPr>
          <w:rFonts w:hint="eastAsia" w:ascii="Times New Roman" w:hAnsi="Times New Roman" w:eastAsia="仿宋_GB2312" w:cs="Times New Roman"/>
          <w:color w:val="auto"/>
          <w:spacing w:val="-7"/>
          <w:kern w:val="2"/>
          <w:sz w:val="32"/>
          <w:szCs w:val="32"/>
          <w:lang w:val="en-US" w:eastAsia="zh-CN" w:bidi="ar-SA"/>
        </w:rPr>
        <w:t>纳入治理企业清单管理。</w:t>
      </w:r>
    </w:p>
    <w:p>
      <w:pPr>
        <w:keepNext w:val="0"/>
        <w:keepLines w:val="0"/>
        <w:pageBreakBefore w:val="0"/>
        <w:widowControl w:val="0"/>
        <w:kinsoku/>
        <w:wordWrap/>
        <w:overflowPunct/>
        <w:topLinePunct w:val="0"/>
        <w:autoSpaceDE/>
        <w:autoSpaceDN/>
        <w:bidi w:val="0"/>
        <w:adjustRightInd/>
        <w:snapToGrid/>
        <w:spacing w:line="540" w:lineRule="exact"/>
        <w:ind w:firstLine="568" w:firstLineChars="191"/>
        <w:jc w:val="both"/>
        <w:textAlignment w:val="auto"/>
        <w:rPr>
          <w:rFonts w:hint="eastAsia" w:ascii="仿宋_GB2312" w:hAnsi="仿宋_GB2312" w:eastAsia="仿宋_GB2312" w:cs="仿宋_GB2312"/>
          <w:b/>
          <w:bCs/>
          <w:color w:val="auto"/>
          <w:spacing w:val="-12"/>
          <w:sz w:val="32"/>
          <w:szCs w:val="32"/>
          <w:lang w:val="en-US" w:eastAsia="zh-CN"/>
        </w:rPr>
      </w:pPr>
      <w:r>
        <w:rPr>
          <w:rFonts w:hint="eastAsia" w:ascii="仿宋_GB2312" w:hAnsi="仿宋_GB2312" w:eastAsia="仿宋_GB2312" w:cs="仿宋_GB2312"/>
          <w:b/>
          <w:bCs/>
          <w:color w:val="auto"/>
          <w:spacing w:val="-12"/>
          <w:sz w:val="32"/>
          <w:szCs w:val="32"/>
          <w:lang w:val="en-US" w:eastAsia="zh-CN"/>
        </w:rPr>
        <w:t>5</w:t>
      </w:r>
      <w:r>
        <w:rPr>
          <w:rFonts w:hint="default" w:ascii="仿宋_GB2312" w:hAnsi="仿宋_GB2312" w:eastAsia="仿宋_GB2312" w:cs="仿宋_GB2312"/>
          <w:b/>
          <w:bCs/>
          <w:color w:val="auto"/>
          <w:spacing w:val="-12"/>
          <w:sz w:val="32"/>
          <w:szCs w:val="32"/>
          <w:lang w:val="en-US" w:eastAsia="zh-CN"/>
        </w:rPr>
        <w:t>.治理成果案例宣传</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ascii="Times New Roman" w:hAnsi="Times New Roman" w:eastAsia="仿宋_GB2312" w:cs="Times New Roman"/>
          <w:color w:val="auto"/>
          <w:spacing w:val="-12"/>
          <w:sz w:val="32"/>
          <w:szCs w:val="32"/>
        </w:rPr>
      </w:pPr>
      <w:r>
        <w:rPr>
          <w:rFonts w:hint="eastAsia" w:ascii="Times New Roman" w:hAnsi="Times New Roman" w:eastAsia="仿宋_GB2312" w:cs="Times New Roman"/>
          <w:color w:val="auto"/>
          <w:spacing w:val="-7"/>
          <w:kern w:val="2"/>
          <w:sz w:val="32"/>
          <w:szCs w:val="32"/>
          <w:lang w:val="en-US" w:eastAsia="zh-CN" w:bidi="ar-SA"/>
        </w:rPr>
        <w:t>各部门和单位要</w:t>
      </w:r>
      <w:r>
        <w:rPr>
          <w:rFonts w:hint="default" w:ascii="Times New Roman" w:hAnsi="Times New Roman" w:eastAsia="仿宋_GB2312" w:cs="Times New Roman"/>
          <w:color w:val="auto"/>
          <w:spacing w:val="-7"/>
          <w:kern w:val="2"/>
          <w:sz w:val="32"/>
          <w:szCs w:val="32"/>
          <w:lang w:val="en-US" w:eastAsia="zh-CN" w:bidi="ar-SA"/>
        </w:rPr>
        <w:t>及时发现和宣传治理整改典型经验和先进做法，利用“天津职业健康”等各种媒体平台，</w:t>
      </w:r>
      <w:r>
        <w:rPr>
          <w:rFonts w:hint="eastAsia" w:ascii="Times New Roman" w:hAnsi="Times New Roman" w:eastAsia="仿宋_GB2312" w:cs="Times New Roman"/>
          <w:color w:val="auto"/>
          <w:spacing w:val="-7"/>
          <w:kern w:val="2"/>
          <w:sz w:val="32"/>
          <w:szCs w:val="32"/>
          <w:lang w:val="en-US" w:eastAsia="zh-CN" w:bidi="ar-SA"/>
        </w:rPr>
        <w:t>报送相关工作信息，</w:t>
      </w:r>
      <w:r>
        <w:rPr>
          <w:rFonts w:hint="default" w:ascii="Times New Roman" w:hAnsi="Times New Roman" w:eastAsia="仿宋_GB2312" w:cs="Times New Roman"/>
          <w:color w:val="auto"/>
          <w:spacing w:val="-7"/>
          <w:kern w:val="2"/>
          <w:sz w:val="32"/>
          <w:szCs w:val="32"/>
          <w:lang w:val="en-US" w:eastAsia="zh-CN" w:bidi="ar-SA"/>
        </w:rPr>
        <w:t>对专项治理工作进行宣传报道，充分发挥示范引领作用，以点带面，营造良好的治理工作氛围，促进专项治理工作深入开展。同时，</w:t>
      </w:r>
      <w:r>
        <w:rPr>
          <w:rFonts w:hint="eastAsia" w:ascii="Times New Roman" w:hAnsi="Times New Roman" w:eastAsia="仿宋_GB2312" w:cs="Times New Roman"/>
          <w:color w:val="auto"/>
          <w:spacing w:val="-7"/>
          <w:kern w:val="2"/>
          <w:sz w:val="32"/>
          <w:szCs w:val="32"/>
          <w:lang w:val="en-US" w:eastAsia="zh-CN" w:bidi="ar-SA"/>
        </w:rPr>
        <w:t>通过</w:t>
      </w:r>
      <w:r>
        <w:rPr>
          <w:rFonts w:hint="default" w:ascii="Times New Roman" w:hAnsi="Times New Roman" w:eastAsia="仿宋_GB2312" w:cs="Times New Roman"/>
          <w:color w:val="auto"/>
          <w:spacing w:val="-7"/>
          <w:kern w:val="2"/>
          <w:sz w:val="32"/>
          <w:szCs w:val="32"/>
          <w:lang w:val="en-US" w:eastAsia="zh-CN" w:bidi="ar-SA"/>
        </w:rPr>
        <w:t>公开曝光问题严重</w:t>
      </w:r>
      <w:r>
        <w:rPr>
          <w:rFonts w:hint="eastAsia" w:ascii="Times New Roman" w:hAnsi="Times New Roman" w:eastAsia="仿宋_GB2312" w:cs="Times New Roman"/>
          <w:color w:val="auto"/>
          <w:spacing w:val="-7"/>
          <w:kern w:val="2"/>
          <w:sz w:val="32"/>
          <w:szCs w:val="32"/>
          <w:lang w:val="en-US" w:eastAsia="zh-CN" w:bidi="ar-SA"/>
        </w:rPr>
        <w:t>、</w:t>
      </w:r>
      <w:r>
        <w:rPr>
          <w:rFonts w:hint="default" w:ascii="Times New Roman" w:hAnsi="Times New Roman" w:eastAsia="仿宋_GB2312" w:cs="Times New Roman"/>
          <w:color w:val="auto"/>
          <w:spacing w:val="-7"/>
          <w:kern w:val="2"/>
          <w:sz w:val="32"/>
          <w:szCs w:val="32"/>
          <w:lang w:val="en-US" w:eastAsia="zh-CN" w:bidi="ar-SA"/>
        </w:rPr>
        <w:t>拒不整改情形企业的执法查处</w:t>
      </w:r>
      <w:r>
        <w:rPr>
          <w:rFonts w:hint="eastAsia" w:ascii="Times New Roman" w:hAnsi="Times New Roman" w:eastAsia="仿宋_GB2312" w:cs="Times New Roman"/>
          <w:color w:val="auto"/>
          <w:spacing w:val="-7"/>
          <w:kern w:val="2"/>
          <w:sz w:val="32"/>
          <w:szCs w:val="32"/>
          <w:lang w:val="en-US" w:eastAsia="zh-CN" w:bidi="ar-SA"/>
        </w:rPr>
        <w:t>情况</w:t>
      </w:r>
      <w:r>
        <w:rPr>
          <w:rFonts w:hint="default" w:ascii="Times New Roman" w:hAnsi="Times New Roman" w:eastAsia="仿宋_GB2312" w:cs="Times New Roman"/>
          <w:color w:val="auto"/>
          <w:spacing w:val="-7"/>
          <w:kern w:val="2"/>
          <w:sz w:val="32"/>
          <w:szCs w:val="32"/>
          <w:lang w:val="en-US" w:eastAsia="zh-CN" w:bidi="ar-SA"/>
        </w:rPr>
        <w:t>，发挥典型案件的警示作用，形成全社会关心支持职业病防治工作良好局面。</w:t>
      </w:r>
    </w:p>
    <w:p>
      <w:pPr>
        <w:keepNext w:val="0"/>
        <w:keepLines w:val="0"/>
        <w:pageBreakBefore w:val="0"/>
        <w:widowControl w:val="0"/>
        <w:kinsoku/>
        <w:wordWrap/>
        <w:overflowPunct/>
        <w:topLinePunct w:val="0"/>
        <w:autoSpaceDE/>
        <w:autoSpaceDN/>
        <w:bidi w:val="0"/>
        <w:adjustRightInd/>
        <w:snapToGrid/>
        <w:spacing w:line="540" w:lineRule="exact"/>
        <w:ind w:firstLine="568" w:firstLineChars="191"/>
        <w:jc w:val="both"/>
        <w:textAlignment w:val="auto"/>
        <w:rPr>
          <w:rFonts w:hint="eastAsia" w:ascii="仿宋_GB2312" w:hAnsi="仿宋_GB2312" w:eastAsia="仿宋_GB2312" w:cs="仿宋_GB2312"/>
          <w:b/>
          <w:bCs/>
          <w:color w:val="auto"/>
          <w:spacing w:val="-12"/>
          <w:sz w:val="32"/>
          <w:szCs w:val="32"/>
          <w:lang w:val="en-US" w:eastAsia="zh-CN"/>
        </w:rPr>
      </w:pPr>
      <w:r>
        <w:rPr>
          <w:rFonts w:hint="default" w:ascii="仿宋_GB2312" w:hAnsi="仿宋_GB2312" w:eastAsia="仿宋_GB2312" w:cs="仿宋_GB2312"/>
          <w:b/>
          <w:bCs/>
          <w:color w:val="auto"/>
          <w:spacing w:val="-12"/>
          <w:sz w:val="32"/>
          <w:szCs w:val="32"/>
          <w:lang w:val="en-US" w:eastAsia="zh-CN"/>
        </w:rPr>
        <w:t>4.做好年度总结</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r>
        <w:rPr>
          <w:rFonts w:hint="eastAsia" w:ascii="Times New Roman" w:hAnsi="Times New Roman" w:eastAsia="仿宋_GB2312" w:cs="Times New Roman"/>
          <w:color w:val="auto"/>
          <w:spacing w:val="-7"/>
          <w:kern w:val="2"/>
          <w:sz w:val="32"/>
          <w:szCs w:val="32"/>
          <w:lang w:val="en-US" w:eastAsia="zh-CN" w:bidi="ar-SA"/>
        </w:rPr>
        <w:t>泰达街、各开发区卫生健康管理部门和区卫生计生综合监督所</w:t>
      </w:r>
      <w:r>
        <w:rPr>
          <w:rFonts w:hint="default" w:ascii="Times New Roman" w:hAnsi="Times New Roman" w:eastAsia="仿宋_GB2312" w:cs="Times New Roman"/>
          <w:color w:val="auto"/>
          <w:spacing w:val="-7"/>
          <w:kern w:val="2"/>
          <w:sz w:val="32"/>
          <w:szCs w:val="32"/>
          <w:lang w:val="en-US" w:eastAsia="zh-CN" w:bidi="ar-SA"/>
        </w:rPr>
        <w:t>要认真做好年度总结工作，于每年11月1</w:t>
      </w:r>
      <w:r>
        <w:rPr>
          <w:rFonts w:hint="eastAsia" w:ascii="Times New Roman" w:hAnsi="Times New Roman" w:eastAsia="仿宋_GB2312" w:cs="Times New Roman"/>
          <w:color w:val="auto"/>
          <w:spacing w:val="-7"/>
          <w:kern w:val="2"/>
          <w:sz w:val="32"/>
          <w:szCs w:val="32"/>
          <w:lang w:val="en-US" w:eastAsia="zh-CN" w:bidi="ar-SA"/>
        </w:rPr>
        <w:t>0</w:t>
      </w:r>
      <w:r>
        <w:rPr>
          <w:rFonts w:hint="default" w:ascii="Times New Roman" w:hAnsi="Times New Roman" w:eastAsia="仿宋_GB2312" w:cs="Times New Roman"/>
          <w:color w:val="auto"/>
          <w:spacing w:val="-7"/>
          <w:kern w:val="2"/>
          <w:sz w:val="32"/>
          <w:szCs w:val="32"/>
          <w:lang w:val="en-US" w:eastAsia="zh-CN" w:bidi="ar-SA"/>
        </w:rPr>
        <w:t>日前将本年度辖区专项治理工作总结报送</w:t>
      </w:r>
      <w:r>
        <w:rPr>
          <w:rFonts w:hint="eastAsia" w:ascii="Times New Roman" w:hAnsi="Times New Roman" w:eastAsia="仿宋_GB2312" w:cs="Times New Roman"/>
          <w:color w:val="auto"/>
          <w:spacing w:val="-7"/>
          <w:kern w:val="2"/>
          <w:sz w:val="32"/>
          <w:szCs w:val="32"/>
          <w:lang w:val="en-US" w:eastAsia="zh-CN" w:bidi="ar-SA"/>
        </w:rPr>
        <w:t>区卫生健康委</w:t>
      </w:r>
      <w:r>
        <w:rPr>
          <w:rFonts w:hint="default" w:ascii="Times New Roman" w:hAnsi="Times New Roman" w:eastAsia="仿宋_GB2312" w:cs="Times New Roman"/>
          <w:color w:val="auto"/>
          <w:spacing w:val="-7"/>
          <w:kern w:val="2"/>
          <w:sz w:val="32"/>
          <w:szCs w:val="32"/>
          <w:lang w:val="en-US" w:eastAsia="zh-CN" w:bidi="ar-SA"/>
        </w:rPr>
        <w:t>。年度总结报告</w:t>
      </w:r>
      <w:r>
        <w:rPr>
          <w:rFonts w:hint="eastAsia" w:ascii="Times New Roman" w:hAnsi="Times New Roman" w:eastAsia="仿宋_GB2312" w:cs="Times New Roman"/>
          <w:color w:val="auto"/>
          <w:spacing w:val="-7"/>
          <w:kern w:val="2"/>
          <w:sz w:val="32"/>
          <w:szCs w:val="32"/>
          <w:lang w:val="en-US" w:eastAsia="zh-CN" w:bidi="ar-SA"/>
        </w:rPr>
        <w:t>（见附件2）</w:t>
      </w:r>
      <w:r>
        <w:rPr>
          <w:rFonts w:hint="default" w:ascii="Times New Roman" w:hAnsi="Times New Roman" w:eastAsia="仿宋_GB2312" w:cs="Times New Roman"/>
          <w:color w:val="auto"/>
          <w:spacing w:val="-7"/>
          <w:kern w:val="2"/>
          <w:sz w:val="32"/>
          <w:szCs w:val="32"/>
          <w:lang w:val="en-US" w:eastAsia="zh-CN" w:bidi="ar-SA"/>
        </w:rPr>
        <w:t>应重点突出、数据详实，主要包括年度工作进展情况、取得的成效、治理成果案例宣传、存在的问题以及下年度工作</w:t>
      </w:r>
      <w:r>
        <w:rPr>
          <w:rFonts w:hint="eastAsia" w:eastAsia="仿宋_GB2312" w:cs="Times New Roman"/>
          <w:color w:val="auto"/>
          <w:spacing w:val="-7"/>
          <w:kern w:val="2"/>
          <w:sz w:val="32"/>
          <w:szCs w:val="32"/>
          <w:lang w:val="en-US" w:eastAsia="zh-CN" w:bidi="ar-SA"/>
        </w:rPr>
        <w:t>计划</w:t>
      </w:r>
      <w:r>
        <w:rPr>
          <w:rFonts w:hint="default" w:ascii="Times New Roman" w:hAnsi="Times New Roman" w:eastAsia="仿宋_GB2312" w:cs="Times New Roman"/>
          <w:color w:val="auto"/>
          <w:spacing w:val="-7"/>
          <w:kern w:val="2"/>
          <w:sz w:val="32"/>
          <w:szCs w:val="32"/>
          <w:lang w:val="en-US" w:eastAsia="zh-CN" w:bidi="ar-SA"/>
        </w:rPr>
        <w:t>等。</w:t>
      </w:r>
      <w:r>
        <w:rPr>
          <w:rFonts w:hint="eastAsia" w:ascii="Times New Roman" w:hAnsi="Times New Roman" w:eastAsia="仿宋_GB2312" w:cs="Times New Roman"/>
          <w:color w:val="auto"/>
          <w:spacing w:val="-7"/>
          <w:kern w:val="2"/>
          <w:sz w:val="32"/>
          <w:szCs w:val="32"/>
          <w:lang w:val="en-US" w:eastAsia="zh-CN" w:bidi="ar-SA"/>
        </w:rPr>
        <w:t>区卫生健康委</w:t>
      </w:r>
      <w:r>
        <w:rPr>
          <w:rFonts w:hint="default" w:ascii="Times New Roman" w:hAnsi="Times New Roman" w:eastAsia="仿宋_GB2312" w:cs="Times New Roman"/>
          <w:color w:val="auto"/>
          <w:spacing w:val="-7"/>
          <w:kern w:val="2"/>
          <w:sz w:val="32"/>
          <w:szCs w:val="32"/>
          <w:lang w:val="en-US" w:eastAsia="zh-CN" w:bidi="ar-SA"/>
        </w:rPr>
        <w:t>每年对全</w:t>
      </w:r>
      <w:r>
        <w:rPr>
          <w:rFonts w:hint="eastAsia" w:ascii="Times New Roman" w:hAnsi="Times New Roman" w:eastAsia="仿宋_GB2312" w:cs="Times New Roman"/>
          <w:color w:val="auto"/>
          <w:spacing w:val="-7"/>
          <w:kern w:val="2"/>
          <w:sz w:val="32"/>
          <w:szCs w:val="32"/>
          <w:lang w:val="en-US" w:eastAsia="zh-CN" w:bidi="ar-SA"/>
        </w:rPr>
        <w:t>区</w:t>
      </w:r>
      <w:r>
        <w:rPr>
          <w:rFonts w:hint="default" w:ascii="Times New Roman" w:hAnsi="Times New Roman" w:eastAsia="仿宋_GB2312" w:cs="Times New Roman"/>
          <w:color w:val="auto"/>
          <w:spacing w:val="-7"/>
          <w:kern w:val="2"/>
          <w:sz w:val="32"/>
          <w:szCs w:val="32"/>
          <w:lang w:val="en-US" w:eastAsia="zh-CN" w:bidi="ar-SA"/>
        </w:rPr>
        <w:t>专项治理工作进行</w:t>
      </w:r>
      <w:r>
        <w:rPr>
          <w:rFonts w:hint="eastAsia" w:ascii="Times New Roman" w:hAnsi="Times New Roman" w:eastAsia="仿宋_GB2312" w:cs="Times New Roman"/>
          <w:color w:val="auto"/>
          <w:spacing w:val="-7"/>
          <w:kern w:val="2"/>
          <w:sz w:val="32"/>
          <w:szCs w:val="32"/>
          <w:lang w:val="en-US" w:eastAsia="zh-CN" w:bidi="ar-SA"/>
        </w:rPr>
        <w:t>汇总分析，适时进行治理情况通报</w:t>
      </w:r>
      <w:r>
        <w:rPr>
          <w:rFonts w:hint="default" w:ascii="Times New Roman" w:hAnsi="Times New Roman" w:eastAsia="仿宋_GB2312" w:cs="Times New Roman"/>
          <w:color w:val="auto"/>
          <w:spacing w:val="-7"/>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565" w:firstLineChars="191"/>
        <w:jc w:val="both"/>
        <w:textAlignment w:val="auto"/>
        <w:rPr>
          <w:rFonts w:ascii="Times New Roman" w:hAnsi="Times New Roman" w:eastAsia="仿宋_GB2312" w:cs="Times New Roman"/>
          <w:b/>
          <w:bCs/>
          <w:color w:val="auto"/>
          <w:spacing w:val="-12"/>
          <w:sz w:val="32"/>
          <w:szCs w:val="32"/>
        </w:rPr>
      </w:pPr>
      <w:bookmarkStart w:id="6" w:name="bookmark15"/>
      <w:r>
        <w:rPr>
          <w:rFonts w:hint="default" w:ascii="Times New Roman" w:hAnsi="Times New Roman" w:eastAsia="楷体_GB2312" w:cs="Times New Roman"/>
          <w:color w:val="auto"/>
          <w:spacing w:val="-12"/>
          <w:sz w:val="32"/>
          <w:szCs w:val="32"/>
        </w:rPr>
        <w:t>（</w:t>
      </w:r>
      <w:bookmarkEnd w:id="6"/>
      <w:r>
        <w:rPr>
          <w:rFonts w:hint="default" w:ascii="Times New Roman" w:hAnsi="Times New Roman" w:eastAsia="楷体_GB2312" w:cs="Times New Roman"/>
          <w:color w:val="auto"/>
          <w:spacing w:val="-12"/>
          <w:sz w:val="32"/>
          <w:szCs w:val="32"/>
        </w:rPr>
        <w:t>三）全面总结阶段（2025年7月—11月）</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r>
        <w:rPr>
          <w:rFonts w:hint="eastAsia" w:ascii="Times New Roman" w:hAnsi="Times New Roman" w:eastAsia="仿宋_GB2312" w:cs="Times New Roman"/>
          <w:color w:val="auto"/>
          <w:spacing w:val="-7"/>
          <w:kern w:val="2"/>
          <w:sz w:val="32"/>
          <w:szCs w:val="32"/>
          <w:lang w:val="en-US" w:eastAsia="zh-CN" w:bidi="ar-SA"/>
        </w:rPr>
        <w:t>泰达街、各开发区卫生健康管理部门和区卫生计生综合监督所</w:t>
      </w:r>
      <w:r>
        <w:rPr>
          <w:rFonts w:hint="default" w:ascii="Times New Roman" w:hAnsi="Times New Roman" w:eastAsia="仿宋_GB2312" w:cs="Times New Roman"/>
          <w:color w:val="auto"/>
          <w:spacing w:val="-7"/>
          <w:kern w:val="2"/>
          <w:sz w:val="32"/>
          <w:szCs w:val="32"/>
          <w:lang w:val="en-US" w:eastAsia="zh-CN" w:bidi="ar-SA"/>
        </w:rPr>
        <w:t>做好全面总结工作，客观评价和总结专项治理工作成效，于2025年11月1</w:t>
      </w:r>
      <w:r>
        <w:rPr>
          <w:rFonts w:hint="eastAsia" w:ascii="Times New Roman" w:hAnsi="Times New Roman" w:eastAsia="仿宋_GB2312" w:cs="Times New Roman"/>
          <w:color w:val="auto"/>
          <w:spacing w:val="-7"/>
          <w:kern w:val="2"/>
          <w:sz w:val="32"/>
          <w:szCs w:val="32"/>
          <w:lang w:val="en-US" w:eastAsia="zh-CN" w:bidi="ar-SA"/>
        </w:rPr>
        <w:t>0</w:t>
      </w:r>
      <w:r>
        <w:rPr>
          <w:rFonts w:hint="default" w:ascii="Times New Roman" w:hAnsi="Times New Roman" w:eastAsia="仿宋_GB2312" w:cs="Times New Roman"/>
          <w:color w:val="auto"/>
          <w:spacing w:val="-7"/>
          <w:kern w:val="2"/>
          <w:sz w:val="32"/>
          <w:szCs w:val="32"/>
          <w:lang w:val="en-US" w:eastAsia="zh-CN" w:bidi="ar-SA"/>
        </w:rPr>
        <w:t>日前将专项治理工作总结报告</w:t>
      </w:r>
      <w:r>
        <w:rPr>
          <w:rFonts w:hint="eastAsia" w:ascii="Times New Roman" w:hAnsi="Times New Roman" w:eastAsia="仿宋_GB2312" w:cs="Times New Roman"/>
          <w:color w:val="auto"/>
          <w:spacing w:val="-7"/>
          <w:kern w:val="2"/>
          <w:sz w:val="32"/>
          <w:szCs w:val="32"/>
          <w:lang w:val="en-US" w:eastAsia="zh-CN" w:bidi="ar-SA"/>
        </w:rPr>
        <w:t>（</w:t>
      </w:r>
      <w:r>
        <w:rPr>
          <w:rFonts w:hint="default" w:ascii="Times New Roman" w:hAnsi="Times New Roman" w:eastAsia="仿宋_GB2312" w:cs="Times New Roman"/>
          <w:color w:val="auto"/>
          <w:spacing w:val="-7"/>
          <w:kern w:val="2"/>
          <w:sz w:val="32"/>
          <w:szCs w:val="32"/>
          <w:lang w:val="en-US" w:eastAsia="zh-CN" w:bidi="ar-SA"/>
        </w:rPr>
        <w:t>包括治理工作开展情况、典型经验做法、取得成效等</w:t>
      </w:r>
      <w:r>
        <w:rPr>
          <w:rFonts w:hint="eastAsia" w:ascii="Times New Roman" w:hAnsi="Times New Roman" w:eastAsia="仿宋_GB2312" w:cs="Times New Roman"/>
          <w:color w:val="auto"/>
          <w:spacing w:val="-7"/>
          <w:kern w:val="2"/>
          <w:sz w:val="32"/>
          <w:szCs w:val="32"/>
          <w:lang w:val="en-US" w:eastAsia="zh-CN" w:bidi="ar-SA"/>
        </w:rPr>
        <w:t>）</w:t>
      </w:r>
      <w:r>
        <w:rPr>
          <w:rFonts w:hint="default" w:ascii="Times New Roman" w:hAnsi="Times New Roman" w:eastAsia="仿宋_GB2312" w:cs="Times New Roman"/>
          <w:color w:val="auto"/>
          <w:spacing w:val="-7"/>
          <w:kern w:val="2"/>
          <w:sz w:val="32"/>
          <w:szCs w:val="32"/>
          <w:lang w:val="en-US" w:eastAsia="zh-CN" w:bidi="ar-SA"/>
        </w:rPr>
        <w:t>报送至</w:t>
      </w:r>
      <w:r>
        <w:rPr>
          <w:rFonts w:hint="eastAsia" w:ascii="Times New Roman" w:hAnsi="Times New Roman" w:eastAsia="仿宋_GB2312" w:cs="Times New Roman"/>
          <w:color w:val="auto"/>
          <w:spacing w:val="-7"/>
          <w:kern w:val="2"/>
          <w:sz w:val="32"/>
          <w:szCs w:val="32"/>
          <w:lang w:val="en-US" w:eastAsia="zh-CN" w:bidi="ar-SA"/>
        </w:rPr>
        <w:t>区卫生健康委疾控室</w:t>
      </w:r>
      <w:r>
        <w:rPr>
          <w:rFonts w:hint="default" w:ascii="Times New Roman" w:hAnsi="Times New Roman" w:eastAsia="仿宋_GB2312" w:cs="Times New Roman"/>
          <w:color w:val="auto"/>
          <w:spacing w:val="-7"/>
          <w:kern w:val="2"/>
          <w:sz w:val="32"/>
          <w:szCs w:val="32"/>
          <w:lang w:val="en-US" w:eastAsia="zh-CN" w:bidi="ar-SA"/>
        </w:rPr>
        <w:t>政务邮箱</w:t>
      </w:r>
      <w:r>
        <w:rPr>
          <w:rFonts w:hint="eastAsia" w:ascii="Times New Roman" w:hAnsi="Times New Roman" w:eastAsia="仿宋_GB2312" w:cs="Times New Roman"/>
          <w:color w:val="auto"/>
          <w:spacing w:val="-7"/>
          <w:kern w:val="2"/>
          <w:sz w:val="32"/>
          <w:szCs w:val="32"/>
          <w:lang w:val="en-US" w:eastAsia="zh-CN" w:bidi="ar-SA"/>
        </w:rPr>
        <w:t>:</w:t>
      </w:r>
      <w:r>
        <w:rPr>
          <w:rFonts w:hint="default" w:ascii="Times New Roman" w:hAnsi="Times New Roman" w:eastAsia="仿宋_GB2312" w:cs="Times New Roman"/>
          <w:color w:val="auto"/>
          <w:spacing w:val="-7"/>
          <w:kern w:val="2"/>
          <w:sz w:val="32"/>
          <w:szCs w:val="32"/>
          <w:lang w:val="en-US" w:eastAsia="zh-CN" w:bidi="ar-SA"/>
        </w:rPr>
        <w:t>wjwj</w:t>
      </w:r>
      <w:r>
        <w:rPr>
          <w:rFonts w:hint="eastAsia" w:ascii="Times New Roman" w:hAnsi="Times New Roman" w:eastAsia="仿宋_GB2312" w:cs="Times New Roman"/>
          <w:color w:val="auto"/>
          <w:spacing w:val="-7"/>
          <w:kern w:val="2"/>
          <w:sz w:val="32"/>
          <w:szCs w:val="32"/>
          <w:lang w:val="en-US" w:eastAsia="zh-CN" w:bidi="ar-SA"/>
        </w:rPr>
        <w:t>byf</w:t>
      </w:r>
      <w:r>
        <w:rPr>
          <w:rFonts w:hint="default" w:ascii="Times New Roman" w:hAnsi="Times New Roman" w:eastAsia="仿宋_GB2312" w:cs="Times New Roman"/>
          <w:color w:val="auto"/>
          <w:spacing w:val="-7"/>
          <w:kern w:val="2"/>
          <w:sz w:val="32"/>
          <w:szCs w:val="32"/>
          <w:lang w:val="en-US" w:eastAsia="zh-CN" w:bidi="ar-SA"/>
        </w:rPr>
        <w:t>k</w:t>
      </w:r>
      <w:r>
        <w:rPr>
          <w:rFonts w:hint="eastAsia" w:ascii="Times New Roman" w:hAnsi="Times New Roman" w:eastAsia="仿宋_GB2312" w:cs="Times New Roman"/>
          <w:color w:val="auto"/>
          <w:spacing w:val="-7"/>
          <w:kern w:val="2"/>
          <w:sz w:val="32"/>
          <w:szCs w:val="32"/>
          <w:lang w:val="en-US" w:eastAsia="zh-CN" w:bidi="ar-SA"/>
        </w:rPr>
        <w:t>zs</w:t>
      </w:r>
      <w:r>
        <w:rPr>
          <w:rFonts w:hint="default" w:ascii="Times New Roman" w:hAnsi="Times New Roman" w:eastAsia="仿宋_GB2312" w:cs="Times New Roman"/>
          <w:color w:val="auto"/>
          <w:spacing w:val="-7"/>
          <w:kern w:val="2"/>
          <w:sz w:val="32"/>
          <w:szCs w:val="32"/>
          <w:lang w:val="en-US" w:eastAsia="zh-CN" w:bidi="ar-SA"/>
        </w:rPr>
        <w:t>@tj</w:t>
      </w:r>
      <w:r>
        <w:rPr>
          <w:rFonts w:hint="eastAsia" w:ascii="Times New Roman" w:hAnsi="Times New Roman" w:eastAsia="仿宋_GB2312" w:cs="Times New Roman"/>
          <w:color w:val="auto"/>
          <w:spacing w:val="-7"/>
          <w:kern w:val="2"/>
          <w:sz w:val="32"/>
          <w:szCs w:val="32"/>
          <w:lang w:val="en-US" w:eastAsia="zh-CN" w:bidi="ar-SA"/>
        </w:rPr>
        <w:t>bh</w:t>
      </w:r>
      <w:r>
        <w:rPr>
          <w:rFonts w:hint="default" w:ascii="Times New Roman" w:hAnsi="Times New Roman" w:eastAsia="仿宋_GB2312" w:cs="Times New Roman"/>
          <w:color w:val="auto"/>
          <w:spacing w:val="-7"/>
          <w:kern w:val="2"/>
          <w:sz w:val="32"/>
          <w:szCs w:val="32"/>
          <w:lang w:val="en-US" w:eastAsia="zh-CN" w:bidi="ar-SA"/>
        </w:rPr>
        <w:t>.gov.cn。</w:t>
      </w:r>
      <w:r>
        <w:rPr>
          <w:rFonts w:hint="eastAsia" w:ascii="Times New Roman" w:hAnsi="Times New Roman" w:eastAsia="仿宋_GB2312" w:cs="Times New Roman"/>
          <w:color w:val="auto"/>
          <w:spacing w:val="-7"/>
          <w:kern w:val="2"/>
          <w:sz w:val="32"/>
          <w:szCs w:val="32"/>
          <w:lang w:val="en-US" w:eastAsia="zh-CN" w:bidi="ar-SA"/>
        </w:rPr>
        <w:t>区卫生健康委</w:t>
      </w:r>
      <w:r>
        <w:rPr>
          <w:rFonts w:hint="default" w:ascii="Times New Roman" w:hAnsi="Times New Roman" w:eastAsia="仿宋_GB2312" w:cs="Times New Roman"/>
          <w:color w:val="auto"/>
          <w:spacing w:val="-7"/>
          <w:kern w:val="2"/>
          <w:sz w:val="32"/>
          <w:szCs w:val="32"/>
          <w:lang w:val="en-US" w:eastAsia="zh-CN" w:bidi="ar-SA"/>
        </w:rPr>
        <w:t>将</w:t>
      </w:r>
      <w:r>
        <w:rPr>
          <w:rFonts w:hint="eastAsia" w:ascii="Times New Roman" w:hAnsi="Times New Roman" w:eastAsia="仿宋_GB2312" w:cs="Times New Roman"/>
          <w:color w:val="auto"/>
          <w:spacing w:val="-7"/>
          <w:kern w:val="2"/>
          <w:sz w:val="32"/>
          <w:szCs w:val="32"/>
          <w:lang w:val="en-US" w:eastAsia="zh-CN" w:bidi="ar-SA"/>
        </w:rPr>
        <w:t>在此基础上</w:t>
      </w:r>
      <w:r>
        <w:rPr>
          <w:rFonts w:hint="default" w:ascii="Times New Roman" w:hAnsi="Times New Roman" w:eastAsia="仿宋_GB2312" w:cs="Times New Roman"/>
          <w:color w:val="auto"/>
          <w:spacing w:val="-7"/>
          <w:kern w:val="2"/>
          <w:sz w:val="32"/>
          <w:szCs w:val="32"/>
          <w:lang w:val="en-US" w:eastAsia="zh-CN" w:bidi="ar-SA"/>
        </w:rPr>
        <w:t>对专项治理工作进行评估总结。</w:t>
      </w:r>
    </w:p>
    <w:p>
      <w:pPr>
        <w:keepNext w:val="0"/>
        <w:keepLines w:val="0"/>
        <w:pageBreakBefore w:val="0"/>
        <w:widowControl w:val="0"/>
        <w:kinsoku/>
        <w:wordWrap/>
        <w:overflowPunct/>
        <w:topLinePunct w:val="0"/>
        <w:autoSpaceDE/>
        <w:autoSpaceDN/>
        <w:bidi w:val="0"/>
        <w:adjustRightInd/>
        <w:snapToGrid/>
        <w:spacing w:line="540" w:lineRule="exact"/>
        <w:ind w:firstLine="599" w:firstLineChars="191"/>
        <w:jc w:val="both"/>
        <w:textAlignment w:val="auto"/>
        <w:rPr>
          <w:rFonts w:ascii="Times New Roman" w:hAnsi="Times New Roman" w:eastAsia="黑体" w:cs="Times New Roman"/>
          <w:color w:val="auto"/>
          <w:sz w:val="32"/>
          <w:szCs w:val="32"/>
        </w:rPr>
      </w:pPr>
      <w:r>
        <w:rPr>
          <w:rFonts w:hint="default" w:ascii="Times New Roman" w:hAnsi="Times New Roman" w:eastAsia="黑体" w:cs="Times New Roman"/>
          <w:color w:val="auto"/>
          <w:spacing w:val="-3"/>
          <w:sz w:val="32"/>
          <w:szCs w:val="32"/>
        </w:rPr>
        <w:t>三、工作要求</w:t>
      </w:r>
    </w:p>
    <w:p>
      <w:pPr>
        <w:keepNext w:val="0"/>
        <w:keepLines w:val="0"/>
        <w:pageBreakBefore w:val="0"/>
        <w:widowControl w:val="0"/>
        <w:kinsoku/>
        <w:wordWrap/>
        <w:overflowPunct/>
        <w:topLinePunct w:val="0"/>
        <w:autoSpaceDE/>
        <w:autoSpaceDN/>
        <w:bidi w:val="0"/>
        <w:adjustRightInd/>
        <w:snapToGrid/>
        <w:spacing w:line="540" w:lineRule="exact"/>
        <w:ind w:firstLine="565" w:firstLineChars="191"/>
        <w:jc w:val="both"/>
        <w:textAlignment w:val="auto"/>
        <w:rPr>
          <w:rFonts w:ascii="Times New Roman" w:hAnsi="Times New Roman" w:eastAsia="楷体_GB2312" w:cs="Times New Roman"/>
          <w:color w:val="auto"/>
          <w:spacing w:val="-12"/>
          <w:sz w:val="32"/>
          <w:szCs w:val="32"/>
        </w:rPr>
      </w:pPr>
      <w:bookmarkStart w:id="7" w:name="bookmark17"/>
      <w:r>
        <w:rPr>
          <w:rFonts w:hint="default" w:ascii="Times New Roman" w:hAnsi="Times New Roman" w:eastAsia="楷体_GB2312" w:cs="Times New Roman"/>
          <w:color w:val="auto"/>
          <w:spacing w:val="-12"/>
          <w:sz w:val="32"/>
          <w:szCs w:val="32"/>
        </w:rPr>
        <w:t>（</w:t>
      </w:r>
      <w:bookmarkEnd w:id="7"/>
      <w:r>
        <w:rPr>
          <w:rFonts w:hint="default" w:ascii="Times New Roman" w:hAnsi="Times New Roman" w:eastAsia="楷体_GB2312" w:cs="Times New Roman"/>
          <w:color w:val="auto"/>
          <w:spacing w:val="-12"/>
          <w:sz w:val="32"/>
          <w:szCs w:val="32"/>
        </w:rPr>
        <w:t>一）高度重视，加强组织领导</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r>
        <w:rPr>
          <w:rFonts w:hint="eastAsia" w:ascii="Times New Roman" w:hAnsi="Times New Roman" w:eastAsia="仿宋_GB2312" w:cs="Times New Roman"/>
          <w:color w:val="auto"/>
          <w:spacing w:val="-7"/>
          <w:kern w:val="2"/>
          <w:sz w:val="32"/>
          <w:szCs w:val="32"/>
          <w:lang w:val="en-US" w:eastAsia="zh-CN" w:bidi="ar-SA"/>
        </w:rPr>
        <w:t>各辖区、有关部门和单位</w:t>
      </w:r>
      <w:r>
        <w:rPr>
          <w:rFonts w:hint="default" w:ascii="Times New Roman" w:hAnsi="Times New Roman" w:eastAsia="仿宋_GB2312" w:cs="Times New Roman"/>
          <w:color w:val="auto"/>
          <w:spacing w:val="-7"/>
          <w:kern w:val="2"/>
          <w:sz w:val="32"/>
          <w:szCs w:val="32"/>
          <w:lang w:val="en-US" w:eastAsia="zh-CN" w:bidi="ar-SA"/>
        </w:rPr>
        <w:t>要高度重视专项治理工作，切实加强组织领导，精心组织，周密部署，</w:t>
      </w:r>
      <w:r>
        <w:rPr>
          <w:rFonts w:hint="eastAsia" w:ascii="Times New Roman" w:hAnsi="Times New Roman" w:eastAsia="仿宋_GB2312" w:cs="Times New Roman"/>
          <w:color w:val="auto"/>
          <w:spacing w:val="-7"/>
          <w:kern w:val="2"/>
          <w:sz w:val="32"/>
          <w:szCs w:val="32"/>
          <w:lang w:val="en-US" w:eastAsia="zh-CN" w:bidi="ar-SA"/>
        </w:rPr>
        <w:t>科学</w:t>
      </w:r>
      <w:r>
        <w:rPr>
          <w:rFonts w:hint="default" w:ascii="Times New Roman" w:hAnsi="Times New Roman" w:eastAsia="仿宋_GB2312" w:cs="Times New Roman"/>
          <w:color w:val="auto"/>
          <w:spacing w:val="-7"/>
          <w:kern w:val="2"/>
          <w:sz w:val="32"/>
          <w:szCs w:val="32"/>
          <w:lang w:val="en-US" w:eastAsia="zh-CN" w:bidi="ar-SA"/>
        </w:rPr>
        <w:t>制定治理方案，细化治理工作任务，认真组织实施，确保专项治理工作取得实实在在的成效。</w:t>
      </w:r>
      <w:r>
        <w:rPr>
          <w:rFonts w:hint="eastAsia" w:ascii="Times New Roman" w:hAnsi="Times New Roman" w:eastAsia="仿宋_GB2312" w:cs="Times New Roman"/>
          <w:color w:val="auto"/>
          <w:spacing w:val="-7"/>
          <w:kern w:val="2"/>
          <w:sz w:val="32"/>
          <w:szCs w:val="32"/>
          <w:lang w:val="en-US" w:eastAsia="zh-CN" w:bidi="ar-SA"/>
        </w:rPr>
        <w:t>要以问题为导向，将专项治理工作与</w:t>
      </w:r>
      <w:r>
        <w:rPr>
          <w:rFonts w:hint="eastAsia" w:ascii="Times New Roman" w:hAnsi="Times New Roman" w:eastAsia="仿宋_GB2312" w:cs="Times New Roman"/>
          <w:color w:val="auto"/>
          <w:sz w:val="32"/>
          <w:szCs w:val="32"/>
          <w:lang w:val="en-US" w:eastAsia="zh-CN"/>
        </w:rPr>
        <w:t>继续开展存在职业病危害因素用人单位信息核实工作</w:t>
      </w:r>
      <w:r>
        <w:rPr>
          <w:rFonts w:hint="eastAsia" w:eastAsia="仿宋_GB2312" w:cs="Times New Roman"/>
          <w:color w:val="auto"/>
          <w:sz w:val="32"/>
          <w:szCs w:val="32"/>
          <w:lang w:val="en-US" w:eastAsia="zh-CN"/>
        </w:rPr>
        <w:t>有机结合起来，</w:t>
      </w:r>
      <w:r>
        <w:rPr>
          <w:rFonts w:hint="eastAsia" w:ascii="Times New Roman" w:hAnsi="Times New Roman" w:eastAsia="仿宋_GB2312" w:cs="Times New Roman"/>
          <w:color w:val="auto"/>
          <w:spacing w:val="-7"/>
          <w:kern w:val="2"/>
          <w:sz w:val="32"/>
          <w:szCs w:val="32"/>
          <w:lang w:val="en-US" w:eastAsia="zh-CN" w:bidi="ar-SA"/>
        </w:rPr>
        <w:t>深入分析治理工作的重点、难点和关键点，组织协调辖区行政和技术力量，全力推进。</w:t>
      </w:r>
    </w:p>
    <w:p>
      <w:pPr>
        <w:keepNext w:val="0"/>
        <w:keepLines w:val="0"/>
        <w:pageBreakBefore w:val="0"/>
        <w:widowControl w:val="0"/>
        <w:kinsoku/>
        <w:wordWrap/>
        <w:overflowPunct/>
        <w:topLinePunct w:val="0"/>
        <w:autoSpaceDE/>
        <w:autoSpaceDN/>
        <w:bidi w:val="0"/>
        <w:adjustRightInd/>
        <w:snapToGrid/>
        <w:spacing w:line="540" w:lineRule="exact"/>
        <w:ind w:firstLine="565" w:firstLineChars="191"/>
        <w:jc w:val="both"/>
        <w:textAlignment w:val="auto"/>
        <w:rPr>
          <w:rFonts w:ascii="Times New Roman" w:hAnsi="Times New Roman" w:eastAsia="楷体_GB2312" w:cs="Times New Roman"/>
          <w:color w:val="auto"/>
          <w:spacing w:val="-12"/>
          <w:sz w:val="32"/>
          <w:szCs w:val="32"/>
        </w:rPr>
      </w:pPr>
      <w:bookmarkStart w:id="8" w:name="bookmark19"/>
      <w:r>
        <w:rPr>
          <w:rFonts w:hint="default" w:ascii="Times New Roman" w:hAnsi="Times New Roman" w:eastAsia="楷体_GB2312" w:cs="Times New Roman"/>
          <w:color w:val="auto"/>
          <w:spacing w:val="-12"/>
          <w:sz w:val="32"/>
          <w:szCs w:val="32"/>
        </w:rPr>
        <w:t>（二）狠抓落实，强化源头治理</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r>
        <w:rPr>
          <w:rFonts w:hint="eastAsia" w:ascii="Times New Roman" w:hAnsi="Times New Roman" w:eastAsia="仿宋_GB2312" w:cs="Times New Roman"/>
          <w:color w:val="auto"/>
          <w:spacing w:val="-7"/>
          <w:kern w:val="2"/>
          <w:sz w:val="32"/>
          <w:szCs w:val="32"/>
          <w:lang w:val="en-US" w:eastAsia="zh-CN" w:bidi="ar-SA"/>
        </w:rPr>
        <w:t>各辖区、有关部门和单位</w:t>
      </w:r>
      <w:r>
        <w:rPr>
          <w:rFonts w:hint="default" w:ascii="Times New Roman" w:hAnsi="Times New Roman" w:eastAsia="仿宋_GB2312" w:cs="Times New Roman"/>
          <w:color w:val="auto"/>
          <w:spacing w:val="-7"/>
          <w:kern w:val="2"/>
          <w:sz w:val="32"/>
          <w:szCs w:val="32"/>
          <w:lang w:val="en-US" w:eastAsia="zh-CN" w:bidi="ar-SA"/>
        </w:rPr>
        <w:t>要</w:t>
      </w:r>
      <w:r>
        <w:rPr>
          <w:rFonts w:hint="eastAsia" w:ascii="Times New Roman" w:hAnsi="Times New Roman" w:eastAsia="仿宋_GB2312" w:cs="Times New Roman"/>
          <w:color w:val="auto"/>
          <w:spacing w:val="-7"/>
          <w:kern w:val="2"/>
          <w:sz w:val="32"/>
          <w:szCs w:val="32"/>
          <w:lang w:val="en-US" w:eastAsia="zh-CN" w:bidi="ar-SA"/>
        </w:rPr>
        <w:t>认真落实监管责任，</w:t>
      </w:r>
      <w:r>
        <w:rPr>
          <w:rFonts w:hint="default" w:ascii="Times New Roman" w:hAnsi="Times New Roman" w:eastAsia="仿宋_GB2312" w:cs="Times New Roman"/>
          <w:color w:val="auto"/>
          <w:spacing w:val="-7"/>
          <w:kern w:val="2"/>
          <w:sz w:val="32"/>
          <w:szCs w:val="32"/>
          <w:lang w:val="en-US" w:eastAsia="zh-CN" w:bidi="ar-SA"/>
        </w:rPr>
        <w:t>加强对企业落实建设项目职业病防护设施“三同时”制度的监管，狠抓源头治理。要督促治理企业以超标作业岗位为重点，以落实工程防护措施为关键，紧紧围绕重点环节、重点岗位、重点人员，加大对现有设备设施升级改造力度，积极使用新技术、新工艺、新材料，提高设备机械化、自动化水平，淘汰落后技术、工艺、设备和材料。对于无法采取工程技术措施，或工程技术措施无法使职业病危害因素浓（强）度达到标准要求的治理企业，要督促其</w:t>
      </w:r>
      <w:r>
        <w:rPr>
          <w:rFonts w:hint="eastAsia" w:ascii="Times New Roman" w:hAnsi="Times New Roman" w:eastAsia="仿宋_GB2312" w:cs="Times New Roman"/>
          <w:color w:val="auto"/>
          <w:spacing w:val="-7"/>
          <w:kern w:val="2"/>
          <w:sz w:val="32"/>
          <w:szCs w:val="32"/>
          <w:lang w:val="en-US" w:eastAsia="zh-CN" w:bidi="ar-SA"/>
        </w:rPr>
        <w:t>强化</w:t>
      </w:r>
      <w:r>
        <w:rPr>
          <w:rFonts w:hint="default" w:ascii="Times New Roman" w:hAnsi="Times New Roman" w:eastAsia="仿宋_GB2312" w:cs="Times New Roman"/>
          <w:color w:val="auto"/>
          <w:spacing w:val="-7"/>
          <w:kern w:val="2"/>
          <w:sz w:val="32"/>
          <w:szCs w:val="32"/>
          <w:lang w:val="en-US" w:eastAsia="zh-CN" w:bidi="ar-SA"/>
        </w:rPr>
        <w:t>个体防护</w:t>
      </w:r>
      <w:r>
        <w:rPr>
          <w:rFonts w:hint="eastAsia" w:ascii="Times New Roman" w:hAnsi="Times New Roman" w:eastAsia="仿宋_GB2312" w:cs="Times New Roman"/>
          <w:color w:val="auto"/>
          <w:spacing w:val="-7"/>
          <w:kern w:val="2"/>
          <w:sz w:val="32"/>
          <w:szCs w:val="32"/>
          <w:lang w:val="en-US" w:eastAsia="zh-CN" w:bidi="ar-SA"/>
        </w:rPr>
        <w:t>用品、作业场所日常管理以及缩短工作时间</w:t>
      </w:r>
      <w:r>
        <w:rPr>
          <w:rFonts w:hint="default" w:ascii="Times New Roman" w:hAnsi="Times New Roman" w:eastAsia="仿宋_GB2312" w:cs="Times New Roman"/>
          <w:color w:val="auto"/>
          <w:spacing w:val="-7"/>
          <w:kern w:val="2"/>
          <w:sz w:val="32"/>
          <w:szCs w:val="32"/>
          <w:lang w:val="en-US" w:eastAsia="zh-CN" w:bidi="ar-SA"/>
        </w:rPr>
        <w:t>等措施，保护劳动者健康权益。</w:t>
      </w:r>
    </w:p>
    <w:p>
      <w:pPr>
        <w:keepNext w:val="0"/>
        <w:keepLines w:val="0"/>
        <w:pageBreakBefore w:val="0"/>
        <w:widowControl w:val="0"/>
        <w:kinsoku/>
        <w:wordWrap/>
        <w:overflowPunct/>
        <w:topLinePunct w:val="0"/>
        <w:autoSpaceDE/>
        <w:autoSpaceDN/>
        <w:bidi w:val="0"/>
        <w:adjustRightInd/>
        <w:snapToGrid/>
        <w:spacing w:line="540" w:lineRule="exact"/>
        <w:ind w:firstLine="565" w:firstLineChars="191"/>
        <w:jc w:val="both"/>
        <w:textAlignment w:val="auto"/>
        <w:rPr>
          <w:rFonts w:ascii="Times New Roman" w:hAnsi="Times New Roman" w:eastAsia="仿宋_GB2312" w:cs="Times New Roman"/>
          <w:b/>
          <w:bCs/>
          <w:color w:val="auto"/>
          <w:spacing w:val="-12"/>
          <w:sz w:val="32"/>
          <w:szCs w:val="32"/>
        </w:rPr>
      </w:pPr>
      <w:r>
        <w:rPr>
          <w:rFonts w:hint="default" w:ascii="Times New Roman" w:hAnsi="Times New Roman" w:eastAsia="楷体_GB2312" w:cs="Times New Roman"/>
          <w:color w:val="auto"/>
          <w:spacing w:val="-12"/>
          <w:sz w:val="32"/>
          <w:szCs w:val="32"/>
        </w:rPr>
        <w:t>（</w:t>
      </w:r>
      <w:bookmarkEnd w:id="8"/>
      <w:r>
        <w:rPr>
          <w:rFonts w:hint="default" w:ascii="Times New Roman" w:hAnsi="Times New Roman" w:eastAsia="楷体_GB2312" w:cs="Times New Roman"/>
          <w:color w:val="auto"/>
          <w:spacing w:val="-12"/>
          <w:sz w:val="32"/>
          <w:szCs w:val="32"/>
        </w:rPr>
        <w:t>三）分类指导，统筹深入推进</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eastAsia" w:ascii="Times New Roman" w:hAnsi="Times New Roman" w:eastAsia="仿宋_GB2312" w:cs="Times New Roman"/>
          <w:color w:val="auto"/>
          <w:spacing w:val="-7"/>
          <w:kern w:val="2"/>
          <w:sz w:val="32"/>
          <w:szCs w:val="32"/>
          <w:lang w:val="en-US" w:eastAsia="zh-CN" w:bidi="ar-SA"/>
        </w:rPr>
        <w:t>各辖区、有关部门和单位要</w:t>
      </w:r>
      <w:r>
        <w:rPr>
          <w:rFonts w:hint="default" w:ascii="Times New Roman" w:hAnsi="Times New Roman" w:eastAsia="仿宋_GB2312" w:cs="Times New Roman"/>
          <w:color w:val="auto"/>
          <w:spacing w:val="-7"/>
          <w:kern w:val="2"/>
          <w:sz w:val="32"/>
          <w:szCs w:val="32"/>
          <w:lang w:val="en-US" w:eastAsia="zh-CN" w:bidi="ar-SA"/>
        </w:rPr>
        <w:t>根据治理企业职业病危害程度及防治水平进行分类指导</w:t>
      </w:r>
      <w:r>
        <w:rPr>
          <w:rFonts w:hint="eastAsia" w:ascii="Times New Roman" w:hAnsi="Times New Roman" w:eastAsia="仿宋_GB2312" w:cs="Times New Roman"/>
          <w:color w:val="auto"/>
          <w:spacing w:val="-7"/>
          <w:kern w:val="2"/>
          <w:sz w:val="32"/>
          <w:szCs w:val="32"/>
          <w:lang w:val="en-US" w:eastAsia="zh-CN" w:bidi="ar-SA"/>
        </w:rPr>
        <w:t>，</w:t>
      </w:r>
      <w:r>
        <w:rPr>
          <w:rFonts w:hint="default" w:ascii="Times New Roman" w:hAnsi="Times New Roman" w:eastAsia="仿宋_GB2312" w:cs="Times New Roman"/>
          <w:color w:val="auto"/>
          <w:spacing w:val="-7"/>
          <w:kern w:val="2"/>
          <w:sz w:val="32"/>
          <w:szCs w:val="32"/>
          <w:lang w:val="en-US" w:eastAsia="zh-CN" w:bidi="ar-SA"/>
        </w:rPr>
        <w:t>对于超标严重、防治水平低的治理企业进行重点指导</w:t>
      </w:r>
      <w:r>
        <w:rPr>
          <w:rFonts w:hint="eastAsia" w:ascii="Times New Roman" w:hAnsi="Times New Roman" w:eastAsia="仿宋_GB2312" w:cs="Times New Roman"/>
          <w:color w:val="auto"/>
          <w:spacing w:val="-7"/>
          <w:kern w:val="2"/>
          <w:sz w:val="32"/>
          <w:szCs w:val="32"/>
          <w:lang w:val="en-US" w:eastAsia="zh-CN" w:bidi="ar-SA"/>
        </w:rPr>
        <w:t>，可以组织专家现场指导或利用第三方机构开展定期检测进行技术帮扶</w:t>
      </w:r>
      <w:r>
        <w:rPr>
          <w:rFonts w:hint="default" w:ascii="Times New Roman" w:hAnsi="Times New Roman" w:eastAsia="仿宋_GB2312" w:cs="Times New Roman"/>
          <w:color w:val="auto"/>
          <w:spacing w:val="-7"/>
          <w:kern w:val="2"/>
          <w:sz w:val="32"/>
          <w:szCs w:val="32"/>
          <w:lang w:val="en-US" w:eastAsia="zh-CN" w:bidi="ar-SA"/>
        </w:rPr>
        <w:t>；对于专项治理效果好、防治水平高的治理企业，鼓励其创建“健康企业”</w:t>
      </w:r>
      <w:r>
        <w:rPr>
          <w:rFonts w:hint="eastAsia" w:ascii="Times New Roman" w:hAnsi="Times New Roman" w:eastAsia="仿宋_GB2312" w:cs="Times New Roman"/>
          <w:color w:val="auto"/>
          <w:spacing w:val="-7"/>
          <w:kern w:val="2"/>
          <w:sz w:val="32"/>
          <w:szCs w:val="32"/>
          <w:lang w:val="en-US" w:eastAsia="zh-CN" w:bidi="ar-SA"/>
        </w:rPr>
        <w:t>，倡导健康保护意识强的劳动者争做“健康达人”；强化对农民工及劳务派遣人员职业卫生培训和职业健康监护工作</w:t>
      </w:r>
      <w:r>
        <w:rPr>
          <w:rFonts w:hint="default" w:ascii="Times New Roman" w:hAnsi="Times New Roman" w:eastAsia="仿宋_GB2312" w:cs="Times New Roman"/>
          <w:color w:val="auto"/>
          <w:spacing w:val="-7"/>
          <w:kern w:val="2"/>
          <w:sz w:val="32"/>
          <w:szCs w:val="32"/>
          <w:lang w:val="en-US" w:eastAsia="zh-CN" w:bidi="ar-SA"/>
        </w:rPr>
        <w:t>。统筹安排专项治理检查工作与工作场所职业病危害因素监测工作，避免重复交叉，提高监管效率。要加强</w:t>
      </w:r>
      <w:r>
        <w:rPr>
          <w:rFonts w:hint="eastAsia" w:ascii="Times New Roman" w:hAnsi="Times New Roman" w:eastAsia="仿宋_GB2312" w:cs="Times New Roman"/>
          <w:color w:val="auto"/>
          <w:spacing w:val="-7"/>
          <w:kern w:val="2"/>
          <w:sz w:val="32"/>
          <w:szCs w:val="32"/>
          <w:lang w:val="en-US" w:eastAsia="zh-CN" w:bidi="ar-SA"/>
        </w:rPr>
        <w:t>治理信息的填报管理</w:t>
      </w:r>
      <w:r>
        <w:rPr>
          <w:rFonts w:hint="default" w:ascii="Times New Roman" w:hAnsi="Times New Roman" w:eastAsia="仿宋_GB2312" w:cs="Times New Roman"/>
          <w:color w:val="auto"/>
          <w:spacing w:val="-7"/>
          <w:kern w:val="2"/>
          <w:sz w:val="32"/>
          <w:szCs w:val="32"/>
          <w:lang w:val="en-US" w:eastAsia="zh-CN" w:bidi="ar-SA"/>
        </w:rPr>
        <w:t>，</w:t>
      </w:r>
      <w:r>
        <w:rPr>
          <w:rFonts w:hint="eastAsia" w:ascii="Times New Roman" w:hAnsi="Times New Roman" w:eastAsia="仿宋_GB2312" w:cs="Times New Roman"/>
          <w:color w:val="auto"/>
          <w:spacing w:val="-7"/>
          <w:kern w:val="2"/>
          <w:sz w:val="32"/>
          <w:szCs w:val="32"/>
          <w:lang w:val="en-US" w:eastAsia="zh-CN" w:bidi="ar-SA"/>
        </w:rPr>
        <w:t>及时准确在国家专项治理模块或系统中录入治理企业相关信息，并</w:t>
      </w:r>
      <w:r>
        <w:rPr>
          <w:rFonts w:hint="default" w:ascii="Times New Roman" w:hAnsi="Times New Roman" w:eastAsia="仿宋_GB2312" w:cs="Times New Roman"/>
          <w:color w:val="auto"/>
          <w:spacing w:val="-7"/>
          <w:kern w:val="2"/>
          <w:sz w:val="32"/>
          <w:szCs w:val="32"/>
          <w:lang w:val="en-US" w:eastAsia="zh-CN" w:bidi="ar-SA"/>
        </w:rPr>
        <w:t>做好治理企业台账动态管理与更新</w:t>
      </w:r>
      <w:r>
        <w:rPr>
          <w:rFonts w:hint="eastAsia" w:ascii="Times New Roman" w:hAnsi="Times New Roman" w:eastAsia="仿宋_GB2312" w:cs="Times New Roman"/>
          <w:color w:val="auto"/>
          <w:spacing w:val="-7"/>
          <w:kern w:val="2"/>
          <w:sz w:val="32"/>
          <w:szCs w:val="32"/>
          <w:lang w:val="en-US" w:eastAsia="zh-CN" w:bidi="ar-SA"/>
        </w:rPr>
        <w:t>，确保治理工作落实与信息系统更新同步</w:t>
      </w:r>
      <w:r>
        <w:rPr>
          <w:rFonts w:hint="default" w:ascii="Times New Roman" w:hAnsi="Times New Roman" w:eastAsia="仿宋_GB2312" w:cs="Times New Roman"/>
          <w:color w:val="auto"/>
          <w:spacing w:val="-7"/>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565" w:firstLineChars="191"/>
        <w:jc w:val="both"/>
        <w:textAlignment w:val="auto"/>
        <w:rPr>
          <w:rFonts w:ascii="Times New Roman" w:hAnsi="Times New Roman" w:eastAsia="仿宋_GB2312" w:cs="Times New Roman"/>
          <w:b/>
          <w:bCs/>
          <w:color w:val="auto"/>
          <w:spacing w:val="-12"/>
          <w:sz w:val="32"/>
          <w:szCs w:val="32"/>
        </w:rPr>
      </w:pPr>
      <w:r>
        <w:rPr>
          <w:rFonts w:hint="default" w:ascii="Times New Roman" w:hAnsi="Times New Roman" w:eastAsia="楷体_GB2312" w:cs="Times New Roman"/>
          <w:color w:val="auto"/>
          <w:spacing w:val="-12"/>
          <w:sz w:val="32"/>
          <w:szCs w:val="32"/>
        </w:rPr>
        <w:t>（四）重点督促，强化监督执法</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eastAsia" w:ascii="Times New Roman" w:hAnsi="Times New Roman" w:eastAsia="仿宋_GB2312" w:cs="Times New Roman"/>
          <w:color w:val="auto"/>
          <w:spacing w:val="-7"/>
          <w:kern w:val="2"/>
          <w:sz w:val="32"/>
          <w:szCs w:val="32"/>
          <w:lang w:val="en-US" w:eastAsia="zh-CN" w:bidi="ar-SA"/>
        </w:rPr>
      </w:pPr>
      <w:bookmarkStart w:id="9" w:name="bookmark20"/>
      <w:r>
        <w:rPr>
          <w:rFonts w:hint="eastAsia" w:ascii="Times New Roman" w:hAnsi="Times New Roman" w:eastAsia="仿宋_GB2312" w:cs="Times New Roman"/>
          <w:color w:val="auto"/>
          <w:spacing w:val="-7"/>
          <w:kern w:val="2"/>
          <w:sz w:val="32"/>
          <w:szCs w:val="32"/>
          <w:lang w:val="en-US" w:eastAsia="zh-CN" w:bidi="ar-SA"/>
        </w:rPr>
        <w:t>泰达街、各开发区卫生健康管理部门和区卫生计生综合监督所</w:t>
      </w:r>
      <w:r>
        <w:rPr>
          <w:rFonts w:hint="default" w:ascii="Times New Roman" w:hAnsi="Times New Roman" w:eastAsia="仿宋_GB2312" w:cs="Times New Roman"/>
          <w:color w:val="auto"/>
          <w:spacing w:val="-7"/>
          <w:kern w:val="2"/>
          <w:sz w:val="32"/>
          <w:szCs w:val="32"/>
          <w:lang w:val="en-US" w:eastAsia="zh-CN" w:bidi="ar-SA"/>
        </w:rPr>
        <w:t>要采取随机抽查、专项检查等方式，加强对问题严重拒不整改企业的重点督促和监督执法。对存在不开展职业病危害项目申报和职业病危害因素定期检测、不为接触职业病危害因素劳动者进行职业健康检查、不为劳动者配备符合国家标准要求的个体防护用品等违法行为且拒不整改的，要坚决依法从严处罚。对</w:t>
      </w:r>
      <w:r>
        <w:rPr>
          <w:rFonts w:hint="eastAsia" w:ascii="Times New Roman" w:hAnsi="Times New Roman" w:eastAsia="仿宋_GB2312" w:cs="Times New Roman"/>
          <w:color w:val="auto"/>
          <w:spacing w:val="-7"/>
          <w:kern w:val="2"/>
          <w:sz w:val="32"/>
          <w:szCs w:val="32"/>
          <w:lang w:val="en-US" w:eastAsia="zh-CN" w:bidi="ar-SA"/>
        </w:rPr>
        <w:t>监督检查企业过程中</w:t>
      </w:r>
      <w:r>
        <w:rPr>
          <w:rFonts w:hint="default" w:ascii="Times New Roman" w:hAnsi="Times New Roman" w:eastAsia="仿宋_GB2312" w:cs="Times New Roman"/>
          <w:color w:val="auto"/>
          <w:spacing w:val="-7"/>
          <w:kern w:val="2"/>
          <w:sz w:val="32"/>
          <w:szCs w:val="32"/>
          <w:lang w:val="en-US" w:eastAsia="zh-CN" w:bidi="ar-SA"/>
        </w:rPr>
        <w:t>发现的职业健康相关技术服务违法违规线索，要及时跟进、倒查相关技术服务机构，依法调查、处理违法违规行为，不断严格规范和提升技术服务水平。</w:t>
      </w:r>
    </w:p>
    <w:p>
      <w:pPr>
        <w:keepNext w:val="0"/>
        <w:keepLines w:val="0"/>
        <w:pageBreakBefore w:val="0"/>
        <w:widowControl w:val="0"/>
        <w:kinsoku/>
        <w:wordWrap/>
        <w:overflowPunct/>
        <w:topLinePunct w:val="0"/>
        <w:autoSpaceDE/>
        <w:autoSpaceDN/>
        <w:bidi w:val="0"/>
        <w:adjustRightInd/>
        <w:snapToGrid/>
        <w:spacing w:line="540" w:lineRule="exact"/>
        <w:ind w:firstLine="565" w:firstLineChars="191"/>
        <w:jc w:val="both"/>
        <w:textAlignment w:val="auto"/>
        <w:rPr>
          <w:rFonts w:hint="default" w:ascii="Times New Roman" w:hAnsi="Times New Roman" w:eastAsia="楷体_GB2312" w:cs="Times New Roman"/>
          <w:color w:val="auto"/>
          <w:spacing w:val="-12"/>
          <w:sz w:val="32"/>
          <w:szCs w:val="32"/>
          <w:lang w:eastAsia="zh-CN"/>
        </w:rPr>
      </w:pPr>
      <w:r>
        <w:rPr>
          <w:rFonts w:hint="default" w:ascii="Times New Roman" w:hAnsi="Times New Roman" w:eastAsia="楷体_GB2312" w:cs="Times New Roman"/>
          <w:color w:val="auto"/>
          <w:spacing w:val="-12"/>
          <w:sz w:val="32"/>
          <w:szCs w:val="32"/>
        </w:rPr>
        <w:t>（</w:t>
      </w:r>
      <w:bookmarkEnd w:id="9"/>
      <w:r>
        <w:rPr>
          <w:rFonts w:hint="default" w:ascii="Times New Roman" w:hAnsi="Times New Roman" w:eastAsia="楷体_GB2312" w:cs="Times New Roman"/>
          <w:color w:val="auto"/>
          <w:spacing w:val="-12"/>
          <w:sz w:val="32"/>
          <w:szCs w:val="32"/>
        </w:rPr>
        <w:t>五）科学规范，</w:t>
      </w:r>
      <w:r>
        <w:rPr>
          <w:rFonts w:hint="default" w:ascii="Times New Roman" w:hAnsi="Times New Roman" w:eastAsia="楷体_GB2312" w:cs="Times New Roman"/>
          <w:color w:val="auto"/>
          <w:spacing w:val="-12"/>
          <w:sz w:val="32"/>
          <w:szCs w:val="32"/>
          <w:lang w:eastAsia="zh-CN"/>
        </w:rPr>
        <w:t>确保治理成效</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eastAsia" w:ascii="Times New Roman" w:hAnsi="Times New Roman" w:eastAsia="仿宋_GB2312" w:cs="Times New Roman"/>
          <w:color w:val="auto"/>
          <w:spacing w:val="-7"/>
          <w:kern w:val="2"/>
          <w:sz w:val="32"/>
          <w:szCs w:val="32"/>
          <w:lang w:val="en-US" w:eastAsia="zh-CN" w:bidi="ar-SA"/>
        </w:rPr>
        <w:t>区</w:t>
      </w:r>
      <w:r>
        <w:rPr>
          <w:rFonts w:hint="default" w:ascii="Times New Roman" w:hAnsi="Times New Roman" w:eastAsia="仿宋_GB2312" w:cs="Times New Roman"/>
          <w:color w:val="auto"/>
          <w:spacing w:val="-7"/>
          <w:kern w:val="2"/>
          <w:sz w:val="32"/>
          <w:szCs w:val="32"/>
          <w:lang w:val="en-US" w:eastAsia="zh-CN" w:bidi="ar-SA"/>
        </w:rPr>
        <w:t>疾控中心要做好全</w:t>
      </w:r>
      <w:r>
        <w:rPr>
          <w:rFonts w:hint="eastAsia" w:ascii="Times New Roman" w:hAnsi="Times New Roman" w:eastAsia="仿宋_GB2312" w:cs="Times New Roman"/>
          <w:color w:val="auto"/>
          <w:spacing w:val="-7"/>
          <w:kern w:val="2"/>
          <w:sz w:val="32"/>
          <w:szCs w:val="32"/>
          <w:lang w:val="en-US" w:eastAsia="zh-CN" w:bidi="ar-SA"/>
        </w:rPr>
        <w:t>区</w:t>
      </w:r>
      <w:r>
        <w:rPr>
          <w:rFonts w:hint="default" w:ascii="Times New Roman" w:hAnsi="Times New Roman" w:eastAsia="仿宋_GB2312" w:cs="Times New Roman"/>
          <w:color w:val="auto"/>
          <w:spacing w:val="-7"/>
          <w:kern w:val="2"/>
          <w:sz w:val="32"/>
          <w:szCs w:val="32"/>
          <w:lang w:val="en-US" w:eastAsia="zh-CN" w:bidi="ar-SA"/>
        </w:rPr>
        <w:t>专项治理工作的技术支撑</w:t>
      </w:r>
      <w:r>
        <w:rPr>
          <w:rFonts w:hint="eastAsia" w:ascii="Times New Roman" w:hAnsi="Times New Roman" w:eastAsia="仿宋_GB2312" w:cs="Times New Roman"/>
          <w:color w:val="auto"/>
          <w:spacing w:val="-7"/>
          <w:kern w:val="2"/>
          <w:sz w:val="32"/>
          <w:szCs w:val="32"/>
          <w:lang w:val="en-US" w:eastAsia="zh-CN" w:bidi="ar-SA"/>
        </w:rPr>
        <w:t>，各</w:t>
      </w:r>
      <w:r>
        <w:rPr>
          <w:rFonts w:hint="default" w:ascii="Times New Roman" w:hAnsi="Times New Roman" w:eastAsia="仿宋_GB2312" w:cs="Times New Roman"/>
          <w:color w:val="auto"/>
          <w:spacing w:val="-7"/>
          <w:kern w:val="2"/>
          <w:sz w:val="32"/>
          <w:szCs w:val="32"/>
          <w:lang w:val="en-US" w:eastAsia="zh-CN" w:bidi="ar-SA"/>
        </w:rPr>
        <w:t>卫生监督</w:t>
      </w:r>
      <w:r>
        <w:rPr>
          <w:rFonts w:hint="eastAsia" w:ascii="Times New Roman" w:hAnsi="Times New Roman" w:eastAsia="仿宋_GB2312" w:cs="Times New Roman"/>
          <w:color w:val="auto"/>
          <w:spacing w:val="-7"/>
          <w:kern w:val="2"/>
          <w:sz w:val="32"/>
          <w:szCs w:val="32"/>
          <w:lang w:val="en-US" w:eastAsia="zh-CN" w:bidi="ar-SA"/>
        </w:rPr>
        <w:t>机构</w:t>
      </w:r>
      <w:r>
        <w:rPr>
          <w:rFonts w:hint="default" w:ascii="Times New Roman" w:hAnsi="Times New Roman" w:eastAsia="仿宋_GB2312" w:cs="Times New Roman"/>
          <w:color w:val="auto"/>
          <w:spacing w:val="-7"/>
          <w:kern w:val="2"/>
          <w:sz w:val="32"/>
          <w:szCs w:val="32"/>
          <w:lang w:val="en-US" w:eastAsia="zh-CN" w:bidi="ar-SA"/>
        </w:rPr>
        <w:t>要围绕治理重点深入开展治理工作的专项监督指导。</w:t>
      </w:r>
      <w:r>
        <w:rPr>
          <w:rFonts w:hint="eastAsia" w:ascii="Times New Roman" w:hAnsi="Times New Roman" w:eastAsia="仿宋_GB2312" w:cs="Times New Roman"/>
          <w:color w:val="auto"/>
          <w:spacing w:val="-7"/>
          <w:kern w:val="2"/>
          <w:sz w:val="32"/>
          <w:szCs w:val="32"/>
          <w:lang w:val="en-US" w:eastAsia="zh-CN" w:bidi="ar-SA"/>
        </w:rPr>
        <w:t>各</w:t>
      </w:r>
      <w:r>
        <w:rPr>
          <w:rFonts w:hint="default" w:ascii="Times New Roman" w:hAnsi="Times New Roman" w:eastAsia="仿宋_GB2312" w:cs="Times New Roman"/>
          <w:color w:val="auto"/>
          <w:spacing w:val="-7"/>
          <w:kern w:val="2"/>
          <w:sz w:val="32"/>
          <w:szCs w:val="32"/>
          <w:lang w:val="en-US" w:eastAsia="zh-CN" w:bidi="ar-SA"/>
        </w:rPr>
        <w:t>职业卫生技术服务机构应严格按照国家有关职业病防治法律法规和技术标准、规范，坚持客观公正、科学规范、真实准确的原则，对出具的检测报告负责，保证检测数据真实、科学、准确、有效。</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ascii="Times New Roman" w:hAnsi="Times New Roman" w:eastAsia="仿宋_GB2312" w:cs="Times New Roman"/>
          <w:color w:val="auto"/>
          <w:spacing w:val="-1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pPr>
      <w:r>
        <w:rPr>
          <w:rFonts w:hint="default" w:ascii="Times New Roman" w:hAnsi="Times New Roman" w:eastAsia="仿宋_GB2312" w:cs="Times New Roman"/>
          <w:color w:val="auto"/>
          <w:spacing w:val="-7"/>
          <w:kern w:val="2"/>
          <w:sz w:val="32"/>
          <w:szCs w:val="32"/>
          <w:lang w:val="en-US" w:eastAsia="zh-CN" w:bidi="ar-SA"/>
        </w:rPr>
        <w:t>附件</w:t>
      </w:r>
      <w:r>
        <w:rPr>
          <w:rFonts w:hint="eastAsia" w:ascii="Times New Roman" w:hAnsi="Times New Roman" w:eastAsia="仿宋_GB2312" w:cs="Times New Roman"/>
          <w:color w:val="auto"/>
          <w:spacing w:val="-7"/>
          <w:kern w:val="2"/>
          <w:sz w:val="32"/>
          <w:szCs w:val="32"/>
          <w:lang w:val="en-US" w:eastAsia="zh-CN" w:bidi="ar-SA"/>
        </w:rPr>
        <w:t>: 1.</w:t>
      </w:r>
      <w:r>
        <w:rPr>
          <w:rFonts w:hint="default" w:ascii="Times New Roman" w:hAnsi="Times New Roman" w:eastAsia="仿宋_GB2312" w:cs="Times New Roman"/>
          <w:color w:val="auto"/>
          <w:spacing w:val="-7"/>
          <w:kern w:val="2"/>
          <w:sz w:val="32"/>
          <w:szCs w:val="32"/>
          <w:lang w:val="en-US" w:eastAsia="zh-CN" w:bidi="ar-SA"/>
        </w:rPr>
        <w:t>职业病危害治理企业基本情况登记表</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191"/>
        <w:jc w:val="both"/>
        <w:textAlignment w:val="auto"/>
        <w:rPr>
          <w:rFonts w:hint="default" w:ascii="Times New Roman" w:hAnsi="Times New Roman" w:eastAsia="仿宋_GB2312" w:cs="Times New Roman"/>
          <w:color w:val="auto"/>
          <w:spacing w:val="-7"/>
          <w:kern w:val="2"/>
          <w:sz w:val="32"/>
          <w:szCs w:val="32"/>
          <w:lang w:val="en-US" w:eastAsia="zh-CN" w:bidi="ar-SA"/>
        </w:rPr>
        <w:sectPr>
          <w:footerReference r:id="rId3" w:type="default"/>
          <w:pgSz w:w="11905" w:h="16839"/>
          <w:pgMar w:top="2098" w:right="1474" w:bottom="1417" w:left="1587" w:header="0" w:footer="1134" w:gutter="0"/>
          <w:pgNumType w:fmt="numberInDash"/>
          <w:cols w:space="720" w:num="1"/>
          <w:rtlGutter w:val="0"/>
          <w:docGrid w:linePitch="1" w:charSpace="0"/>
        </w:sectPr>
      </w:pPr>
      <w:r>
        <w:rPr>
          <w:rFonts w:hint="eastAsia" w:ascii="Times New Roman" w:hAnsi="Times New Roman" w:eastAsia="仿宋_GB2312" w:cs="Times New Roman"/>
          <w:color w:val="auto"/>
          <w:spacing w:val="-7"/>
          <w:kern w:val="2"/>
          <w:sz w:val="32"/>
          <w:szCs w:val="32"/>
          <w:lang w:val="en-US" w:eastAsia="zh-CN" w:bidi="ar-SA"/>
        </w:rPr>
        <w:t xml:space="preserve">     2.年度专项治理总结报告 </w:t>
      </w:r>
    </w:p>
    <w:p>
      <w:pPr>
        <w:spacing w:line="560" w:lineRule="exact"/>
        <w:jc w:val="both"/>
        <w:rPr>
          <w:rFonts w:hint="eastAsia" w:ascii="Times New Roman" w:hAnsi="Times New Roman" w:eastAsia="黑体" w:cs="Times New Roman"/>
          <w:color w:val="auto"/>
          <w:spacing w:val="-11"/>
          <w:sz w:val="32"/>
          <w:szCs w:val="32"/>
          <w:lang w:val="en-US" w:eastAsia="zh-CN"/>
        </w:rPr>
      </w:pPr>
      <w:r>
        <w:rPr>
          <w:rFonts w:ascii="Times New Roman" w:hAnsi="Times New Roman" w:eastAsia="黑体" w:cs="Times New Roman"/>
          <w:color w:val="auto"/>
          <w:spacing w:val="-11"/>
          <w:sz w:val="32"/>
          <w:szCs w:val="32"/>
        </w:rPr>
        <w:t>附件</w:t>
      </w:r>
      <w:r>
        <w:rPr>
          <w:rFonts w:hint="eastAsia" w:eastAsia="黑体" w:cs="Times New Roman"/>
          <w:color w:val="auto"/>
          <w:spacing w:val="-11"/>
          <w:sz w:val="32"/>
          <w:szCs w:val="32"/>
          <w:lang w:val="en-US" w:eastAsia="zh-CN"/>
        </w:rPr>
        <w:t>1</w:t>
      </w:r>
    </w:p>
    <w:p>
      <w:pPr>
        <w:pStyle w:val="4"/>
        <w:spacing w:line="560" w:lineRule="exact"/>
        <w:ind w:firstLine="0" w:firstLineChars="0"/>
        <w:jc w:val="center"/>
        <w:rPr>
          <w:rFonts w:hint="default" w:ascii="Times New Roman" w:hAnsi="Times New Roman" w:eastAsia="方正小标宋简体" w:cs="Times New Roman"/>
        </w:rPr>
      </w:pPr>
      <w:r>
        <w:rPr>
          <w:rFonts w:hint="default" w:ascii="Times New Roman" w:hAnsi="Times New Roman" w:eastAsia="方正小标宋简体" w:cs="Times New Roman"/>
          <w:spacing w:val="-1"/>
          <w:sz w:val="36"/>
          <w:szCs w:val="36"/>
        </w:rPr>
        <w:t>职业病危害治理企业基本情况登记表</w:t>
      </w:r>
    </w:p>
    <w:p>
      <w:pPr>
        <w:pStyle w:val="4"/>
        <w:spacing w:line="560" w:lineRule="exact"/>
        <w:ind w:left="-380" w:leftChars="-197" w:firstLine="0" w:firstLineChars="0"/>
        <w:rPr>
          <w:rFonts w:ascii="Times New Roman" w:hAnsi="Times New Roman"/>
        </w:rPr>
      </w:pPr>
      <w:r>
        <w:rPr>
          <w:rFonts w:ascii="Times New Roman" w:hAnsi="Times New Roman" w:eastAsia="仿宋"/>
          <w:spacing w:val="-14"/>
          <w:sz w:val="28"/>
          <w:szCs w:val="28"/>
        </w:rPr>
        <w:t xml:space="preserve">填报单位（盖章）：             </w:t>
      </w:r>
      <w:r>
        <w:rPr>
          <w:rFonts w:hint="eastAsia" w:ascii="Times New Roman" w:hAnsi="Times New Roman" w:eastAsia="仿宋"/>
          <w:spacing w:val="-14"/>
          <w:sz w:val="28"/>
          <w:szCs w:val="28"/>
        </w:rPr>
        <w:t xml:space="preserve">            </w:t>
      </w:r>
      <w:r>
        <w:rPr>
          <w:rFonts w:ascii="Times New Roman" w:hAnsi="Times New Roman" w:eastAsia="仿宋"/>
          <w:spacing w:val="-27"/>
          <w:w w:val="98"/>
          <w:sz w:val="28"/>
          <w:szCs w:val="28"/>
        </w:rPr>
        <w:t xml:space="preserve">填表人：       </w:t>
      </w:r>
      <w:r>
        <w:rPr>
          <w:rFonts w:hint="eastAsia" w:ascii="Times New Roman" w:hAnsi="Times New Roman" w:eastAsia="仿宋"/>
          <w:spacing w:val="-27"/>
          <w:w w:val="98"/>
          <w:sz w:val="28"/>
          <w:szCs w:val="28"/>
        </w:rPr>
        <w:t xml:space="preserve">           </w:t>
      </w:r>
      <w:r>
        <w:rPr>
          <w:rFonts w:hint="eastAsia" w:ascii="Times New Roman" w:hAnsi="Times New Roman" w:eastAsia="仿宋"/>
          <w:spacing w:val="-27"/>
          <w:w w:val="98"/>
          <w:sz w:val="28"/>
          <w:szCs w:val="28"/>
          <w:lang w:val="en-US" w:eastAsia="zh-CN"/>
        </w:rPr>
        <w:t xml:space="preserve">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 xml:space="preserve">联系电话：         </w:t>
      </w:r>
      <w:r>
        <w:rPr>
          <w:rFonts w:hint="eastAsia" w:ascii="Times New Roman" w:hAnsi="Times New Roman" w:eastAsia="仿宋"/>
          <w:spacing w:val="-27"/>
          <w:w w:val="98"/>
          <w:sz w:val="28"/>
          <w:szCs w:val="28"/>
        </w:rPr>
        <w:t xml:space="preserve">           </w:t>
      </w:r>
      <w:r>
        <w:rPr>
          <w:rFonts w:hint="eastAsia" w:ascii="Times New Roman" w:hAnsi="Times New Roman" w:eastAsia="仿宋"/>
          <w:spacing w:val="-27"/>
          <w:w w:val="98"/>
          <w:sz w:val="28"/>
          <w:szCs w:val="28"/>
          <w:lang w:val="en-US" w:eastAsia="zh-CN"/>
        </w:rPr>
        <w:t xml:space="preserve">      </w:t>
      </w:r>
      <w:r>
        <w:rPr>
          <w:rFonts w:ascii="Times New Roman" w:hAnsi="Times New Roman" w:eastAsia="仿宋"/>
          <w:spacing w:val="-27"/>
          <w:w w:val="98"/>
          <w:sz w:val="28"/>
          <w:szCs w:val="28"/>
        </w:rPr>
        <w:t>填表日期：</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 xml:space="preserve"> 年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 xml:space="preserve">月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日</w:t>
      </w:r>
    </w:p>
    <w:tbl>
      <w:tblPr>
        <w:tblStyle w:val="9"/>
        <w:tblW w:w="15198" w:type="dxa"/>
        <w:tblInd w:w="-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290"/>
        <w:gridCol w:w="900"/>
        <w:gridCol w:w="690"/>
        <w:gridCol w:w="690"/>
        <w:gridCol w:w="690"/>
        <w:gridCol w:w="1067"/>
        <w:gridCol w:w="912"/>
        <w:gridCol w:w="1293"/>
        <w:gridCol w:w="1135"/>
        <w:gridCol w:w="978"/>
        <w:gridCol w:w="825"/>
        <w:gridCol w:w="1417"/>
        <w:gridCol w:w="935"/>
        <w:gridCol w:w="941"/>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7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序号</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企业名称</w:t>
            </w:r>
          </w:p>
        </w:tc>
        <w:tc>
          <w:tcPr>
            <w:tcW w:w="9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hint="eastAsia" w:ascii="Times New Roman" w:hAnsi="Times New Roman" w:eastAsia="仿宋" w:cs="Times New Roman"/>
                <w:color w:val="auto"/>
                <w:lang w:eastAsia="zh-CN"/>
              </w:rPr>
            </w:pPr>
            <w:r>
              <w:rPr>
                <w:rFonts w:ascii="Times New Roman" w:hAnsi="Times New Roman" w:eastAsia="仿宋" w:cs="Times New Roman"/>
                <w:color w:val="auto"/>
                <w:lang w:bidi="ar"/>
              </w:rPr>
              <w:t>所在</w:t>
            </w:r>
            <w:r>
              <w:rPr>
                <w:rStyle w:val="13"/>
                <w:rFonts w:hint="default" w:ascii="Times New Roman" w:hAnsi="Times New Roman" w:cs="Times New Roman"/>
                <w:color w:val="auto"/>
                <w:lang w:bidi="ar"/>
              </w:rPr>
              <w:t>辖区</w:t>
            </w:r>
            <w:r>
              <w:rPr>
                <w:rStyle w:val="13"/>
                <w:rFonts w:hint="eastAsia" w:eastAsia="仿宋" w:cs="Times New Roman"/>
                <w:color w:val="auto"/>
                <w:lang w:eastAsia="zh-CN" w:bidi="ar"/>
              </w:rPr>
              <w:t>（开发区或街镇）</w:t>
            </w:r>
          </w:p>
        </w:tc>
        <w:tc>
          <w:tcPr>
            <w:tcW w:w="6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行业</w:t>
            </w:r>
          </w:p>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Times New Roman" w:cs="Times New Roman"/>
                <w:color w:val="auto"/>
              </w:rPr>
            </w:pPr>
            <w:r>
              <w:rPr>
                <w:rFonts w:ascii="Times New Roman" w:hAnsi="Times New Roman" w:eastAsia="仿宋" w:cs="Times New Roman"/>
                <w:color w:val="auto"/>
                <w:lang w:bidi="ar"/>
              </w:rPr>
              <w:t>编码</w:t>
            </w:r>
            <w:r>
              <w:rPr>
                <w:rStyle w:val="14"/>
                <w:rFonts w:eastAsia="仿宋"/>
                <w:color w:val="auto"/>
                <w:sz w:val="21"/>
                <w:szCs w:val="21"/>
                <w:vertAlign w:val="superscript"/>
                <w:lang w:bidi="ar"/>
              </w:rPr>
              <w:t>[1]</w:t>
            </w:r>
          </w:p>
        </w:tc>
        <w:tc>
          <w:tcPr>
            <w:tcW w:w="6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企业</w:t>
            </w:r>
          </w:p>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规模</w:t>
            </w:r>
            <w:r>
              <w:rPr>
                <w:rStyle w:val="14"/>
                <w:rFonts w:eastAsia="仿宋"/>
                <w:color w:val="auto"/>
                <w:sz w:val="21"/>
                <w:szCs w:val="21"/>
                <w:vertAlign w:val="superscript"/>
                <w:lang w:bidi="ar"/>
              </w:rPr>
              <w:t>[2]</w:t>
            </w:r>
          </w:p>
        </w:tc>
        <w:tc>
          <w:tcPr>
            <w:tcW w:w="6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经济</w:t>
            </w:r>
          </w:p>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Times New Roman" w:cs="Times New Roman"/>
                <w:color w:val="auto"/>
              </w:rPr>
            </w:pPr>
            <w:r>
              <w:rPr>
                <w:rStyle w:val="13"/>
                <w:rFonts w:hint="default" w:ascii="Times New Roman" w:hAnsi="Times New Roman" w:cs="Times New Roman"/>
                <w:color w:val="auto"/>
                <w:lang w:bidi="ar"/>
              </w:rPr>
              <w:t>类型</w:t>
            </w:r>
            <w:r>
              <w:rPr>
                <w:rStyle w:val="14"/>
                <w:rFonts w:eastAsia="仿宋"/>
                <w:color w:val="auto"/>
                <w:sz w:val="21"/>
                <w:szCs w:val="21"/>
                <w:vertAlign w:val="superscript"/>
                <w:lang w:bidi="ar"/>
              </w:rPr>
              <w:t>[3]</w:t>
            </w:r>
          </w:p>
        </w:tc>
        <w:tc>
          <w:tcPr>
            <w:tcW w:w="10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从业人员</w:t>
            </w:r>
          </w:p>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总数</w:t>
            </w:r>
          </w:p>
        </w:tc>
        <w:tc>
          <w:tcPr>
            <w:tcW w:w="9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接触职业病危害因素人数</w:t>
            </w:r>
          </w:p>
        </w:tc>
        <w:tc>
          <w:tcPr>
            <w:tcW w:w="129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近三年是否开展职业病危害检测</w:t>
            </w:r>
          </w:p>
        </w:tc>
        <w:tc>
          <w:tcPr>
            <w:tcW w:w="11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仿宋" w:cs="Times New Roman"/>
                <w:color w:val="auto"/>
              </w:rPr>
            </w:pPr>
            <w:r>
              <w:rPr>
                <w:rFonts w:ascii="Times New Roman" w:hAnsi="Times New Roman" w:eastAsia="仿宋" w:cs="Times New Roman"/>
                <w:color w:val="auto"/>
                <w:lang w:bidi="ar"/>
              </w:rPr>
              <w:t>是否进行职业病危害项目申报</w:t>
            </w:r>
          </w:p>
        </w:tc>
        <w:tc>
          <w:tcPr>
            <w:tcW w:w="5961" w:type="dxa"/>
            <w:gridSpan w:val="6"/>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spacing w:val="-3"/>
              </w:rPr>
              <w:t>作业岗位</w:t>
            </w:r>
            <w:r>
              <w:rPr>
                <w:rFonts w:ascii="Times New Roman" w:hAnsi="Times New Roman" w:eastAsia="仿宋" w:cs="Times New Roman"/>
                <w:color w:val="auto"/>
                <w:spacing w:val="-1"/>
              </w:rPr>
              <w:t>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7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cs="Times New Roman"/>
                <w:color w:val="auto"/>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cs="Times New Roman"/>
                <w:color w:val="auto"/>
              </w:rPr>
            </w:pPr>
          </w:p>
        </w:tc>
        <w:tc>
          <w:tcPr>
            <w:tcW w:w="9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cs="Times New Roman"/>
                <w:color w:val="auto"/>
              </w:rPr>
            </w:pPr>
          </w:p>
        </w:tc>
        <w:tc>
          <w:tcPr>
            <w:tcW w:w="6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cs="Times New Roman"/>
                <w:color w:val="auto"/>
              </w:rPr>
            </w:pPr>
          </w:p>
        </w:tc>
        <w:tc>
          <w:tcPr>
            <w:tcW w:w="6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cs="Times New Roman"/>
                <w:color w:val="auto"/>
              </w:rPr>
            </w:pPr>
          </w:p>
        </w:tc>
        <w:tc>
          <w:tcPr>
            <w:tcW w:w="6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cs="Times New Roman"/>
                <w:color w:val="auto"/>
              </w:rPr>
            </w:pPr>
          </w:p>
        </w:tc>
        <w:tc>
          <w:tcPr>
            <w:tcW w:w="10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cs="Times New Roman"/>
                <w:color w:val="auto"/>
              </w:rPr>
            </w:pPr>
          </w:p>
        </w:tc>
        <w:tc>
          <w:tcPr>
            <w:tcW w:w="9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cs="Times New Roman"/>
                <w:color w:val="auto"/>
              </w:rPr>
            </w:pPr>
          </w:p>
        </w:tc>
        <w:tc>
          <w:tcPr>
            <w:tcW w:w="129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cs="Times New Roman"/>
                <w:color w:val="auto"/>
              </w:rPr>
            </w:pPr>
          </w:p>
        </w:tc>
        <w:tc>
          <w:tcPr>
            <w:tcW w:w="11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96" w:rightChars="-50"/>
              <w:jc w:val="center"/>
              <w:textAlignment w:val="center"/>
              <w:rPr>
                <w:rFonts w:ascii="Times New Roman" w:hAnsi="Times New Roman" w:cs="Times New Roman"/>
                <w:color w:val="auto"/>
              </w:rPr>
            </w:pPr>
          </w:p>
        </w:tc>
        <w:tc>
          <w:tcPr>
            <w:tcW w:w="97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121"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粉尘超标</w:t>
            </w:r>
          </w:p>
          <w:p>
            <w:pPr>
              <w:keepNext w:val="0"/>
              <w:keepLines w:val="0"/>
              <w:pageBreakBefore w:val="0"/>
              <w:widowControl/>
              <w:kinsoku/>
              <w:wordWrap/>
              <w:overflowPunct/>
              <w:topLinePunct w:val="0"/>
              <w:autoSpaceDE/>
              <w:autoSpaceDN/>
              <w:bidi w:val="0"/>
              <w:adjustRightInd/>
              <w:snapToGrid/>
              <w:spacing w:line="360" w:lineRule="exact"/>
              <w:ind w:left="-96" w:leftChars="-50" w:right="-121"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（有/无）</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121"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超标岗位数量</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121"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化学毒物超标（有/无）</w:t>
            </w:r>
          </w:p>
        </w:tc>
        <w:tc>
          <w:tcPr>
            <w:tcW w:w="93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121"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超标岗位</w:t>
            </w:r>
          </w:p>
          <w:p>
            <w:pPr>
              <w:keepNext w:val="0"/>
              <w:keepLines w:val="0"/>
              <w:pageBreakBefore w:val="0"/>
              <w:widowControl/>
              <w:kinsoku/>
              <w:wordWrap/>
              <w:overflowPunct/>
              <w:topLinePunct w:val="0"/>
              <w:autoSpaceDE/>
              <w:autoSpaceDN/>
              <w:bidi w:val="0"/>
              <w:adjustRightInd/>
              <w:snapToGrid/>
              <w:spacing w:line="360" w:lineRule="exact"/>
              <w:ind w:left="-96" w:leftChars="-50" w:right="-121"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数量</w:t>
            </w:r>
          </w:p>
        </w:tc>
        <w:tc>
          <w:tcPr>
            <w:tcW w:w="94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121"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噪声超标</w:t>
            </w:r>
          </w:p>
          <w:p>
            <w:pPr>
              <w:keepNext w:val="0"/>
              <w:keepLines w:val="0"/>
              <w:pageBreakBefore w:val="0"/>
              <w:widowControl/>
              <w:kinsoku/>
              <w:wordWrap/>
              <w:overflowPunct/>
              <w:topLinePunct w:val="0"/>
              <w:autoSpaceDE/>
              <w:autoSpaceDN/>
              <w:bidi w:val="0"/>
              <w:adjustRightInd/>
              <w:snapToGrid/>
              <w:spacing w:line="360" w:lineRule="exact"/>
              <w:ind w:left="-96" w:leftChars="-50" w:right="-121"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（有/无）</w:t>
            </w:r>
          </w:p>
        </w:tc>
        <w:tc>
          <w:tcPr>
            <w:tcW w:w="86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96" w:leftChars="-50" w:right="-121" w:rightChars="-63"/>
              <w:jc w:val="center"/>
              <w:textAlignment w:val="center"/>
              <w:rPr>
                <w:rFonts w:ascii="Times New Roman" w:hAnsi="Times New Roman" w:eastAsia="仿宋" w:cs="Times New Roman"/>
                <w:color w:val="auto"/>
                <w:lang w:bidi="ar"/>
              </w:rPr>
            </w:pPr>
            <w:r>
              <w:rPr>
                <w:rFonts w:ascii="Times New Roman" w:hAnsi="Times New Roman" w:eastAsia="仿宋" w:cs="Times New Roman"/>
                <w:color w:val="auto"/>
                <w:lang w:bidi="ar"/>
              </w:rPr>
              <w:t>超标岗位数量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70" w:type="dxa"/>
            <w:noWrap w:val="0"/>
            <w:vAlign w:val="center"/>
          </w:tcPr>
          <w:p>
            <w:pPr>
              <w:widowControl/>
              <w:spacing w:line="560" w:lineRule="exact"/>
              <w:ind w:left="-57" w:leftChars="-30" w:right="-57" w:rightChars="-30"/>
              <w:jc w:val="center"/>
              <w:rPr>
                <w:rFonts w:hint="eastAsia" w:ascii="Times New Roman" w:hAnsi="Times New Roman" w:eastAsia="宋体" w:cs="Times New Roman"/>
                <w:color w:val="auto"/>
                <w:lang w:eastAsia="zh-CN"/>
              </w:rPr>
            </w:pPr>
            <w:r>
              <w:rPr>
                <w:rFonts w:hint="eastAsia" w:cs="Times New Roman"/>
                <w:color w:val="auto"/>
                <w:lang w:val="en-US" w:eastAsia="zh-CN"/>
              </w:rPr>
              <w:t>1</w:t>
            </w:r>
          </w:p>
        </w:tc>
        <w:tc>
          <w:tcPr>
            <w:tcW w:w="1290"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900"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690"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690"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690"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1067"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912"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1293"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1135"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978"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825"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1417"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935"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941" w:type="dxa"/>
            <w:noWrap w:val="0"/>
            <w:vAlign w:val="center"/>
          </w:tcPr>
          <w:p>
            <w:pPr>
              <w:widowControl/>
              <w:spacing w:line="560" w:lineRule="exact"/>
              <w:ind w:left="-57" w:leftChars="-30" w:right="-57" w:rightChars="-30"/>
              <w:jc w:val="both"/>
              <w:rPr>
                <w:rFonts w:ascii="Times New Roman" w:hAnsi="Times New Roman" w:cs="Times New Roman"/>
                <w:color w:val="auto"/>
              </w:rPr>
            </w:pPr>
          </w:p>
        </w:tc>
        <w:tc>
          <w:tcPr>
            <w:tcW w:w="865" w:type="dxa"/>
            <w:noWrap w:val="0"/>
            <w:vAlign w:val="center"/>
          </w:tcPr>
          <w:p>
            <w:pPr>
              <w:widowControl/>
              <w:spacing w:line="560" w:lineRule="exact"/>
              <w:ind w:left="-57" w:leftChars="-30" w:right="-57" w:rightChars="-30"/>
              <w:jc w:val="both"/>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70" w:type="dxa"/>
            <w:noWrap w:val="0"/>
            <w:vAlign w:val="center"/>
          </w:tcPr>
          <w:p>
            <w:pPr>
              <w:widowControl w:val="0"/>
              <w:spacing w:line="560" w:lineRule="exact"/>
              <w:jc w:val="center"/>
              <w:rPr>
                <w:rFonts w:hint="eastAsia" w:ascii="Times New Roman" w:hAnsi="Times New Roman" w:eastAsia="宋体" w:cs="Times New Roman"/>
                <w:color w:val="auto"/>
                <w:lang w:val="en-US" w:eastAsia="zh-CN"/>
              </w:rPr>
            </w:pPr>
            <w:r>
              <w:rPr>
                <w:rFonts w:hint="eastAsia" w:cs="Times New Roman"/>
                <w:color w:val="auto"/>
                <w:lang w:val="en-US" w:eastAsia="zh-CN"/>
              </w:rPr>
              <w:t>2</w:t>
            </w:r>
          </w:p>
        </w:tc>
        <w:tc>
          <w:tcPr>
            <w:tcW w:w="1290" w:type="dxa"/>
            <w:noWrap w:val="0"/>
            <w:vAlign w:val="top"/>
          </w:tcPr>
          <w:p>
            <w:pPr>
              <w:widowControl w:val="0"/>
              <w:spacing w:line="560" w:lineRule="exact"/>
              <w:jc w:val="both"/>
              <w:rPr>
                <w:rFonts w:ascii="Times New Roman" w:hAnsi="Times New Roman" w:cs="Times New Roman"/>
                <w:color w:val="auto"/>
              </w:rPr>
            </w:pPr>
          </w:p>
        </w:tc>
        <w:tc>
          <w:tcPr>
            <w:tcW w:w="900" w:type="dxa"/>
            <w:noWrap w:val="0"/>
            <w:vAlign w:val="top"/>
          </w:tcPr>
          <w:p>
            <w:pPr>
              <w:widowControl w:val="0"/>
              <w:spacing w:line="560" w:lineRule="exact"/>
              <w:jc w:val="both"/>
              <w:rPr>
                <w:rFonts w:ascii="Times New Roman" w:hAnsi="Times New Roman" w:cs="Times New Roman"/>
                <w:color w:val="auto"/>
              </w:rPr>
            </w:pPr>
          </w:p>
        </w:tc>
        <w:tc>
          <w:tcPr>
            <w:tcW w:w="690" w:type="dxa"/>
            <w:noWrap w:val="0"/>
            <w:vAlign w:val="top"/>
          </w:tcPr>
          <w:p>
            <w:pPr>
              <w:widowControl w:val="0"/>
              <w:spacing w:line="560" w:lineRule="exact"/>
              <w:jc w:val="both"/>
              <w:rPr>
                <w:rFonts w:ascii="Times New Roman" w:hAnsi="Times New Roman" w:cs="Times New Roman"/>
                <w:color w:val="auto"/>
              </w:rPr>
            </w:pPr>
          </w:p>
        </w:tc>
        <w:tc>
          <w:tcPr>
            <w:tcW w:w="690" w:type="dxa"/>
            <w:noWrap w:val="0"/>
            <w:vAlign w:val="top"/>
          </w:tcPr>
          <w:p>
            <w:pPr>
              <w:widowControl w:val="0"/>
              <w:spacing w:line="560" w:lineRule="exact"/>
              <w:jc w:val="both"/>
              <w:rPr>
                <w:rFonts w:ascii="Times New Roman" w:hAnsi="Times New Roman" w:cs="Times New Roman"/>
                <w:color w:val="auto"/>
              </w:rPr>
            </w:pPr>
          </w:p>
        </w:tc>
        <w:tc>
          <w:tcPr>
            <w:tcW w:w="690" w:type="dxa"/>
            <w:noWrap w:val="0"/>
            <w:vAlign w:val="top"/>
          </w:tcPr>
          <w:p>
            <w:pPr>
              <w:widowControl w:val="0"/>
              <w:spacing w:line="560" w:lineRule="exact"/>
              <w:jc w:val="both"/>
              <w:rPr>
                <w:rFonts w:ascii="Times New Roman" w:hAnsi="Times New Roman" w:cs="Times New Roman"/>
                <w:color w:val="auto"/>
              </w:rPr>
            </w:pPr>
          </w:p>
        </w:tc>
        <w:tc>
          <w:tcPr>
            <w:tcW w:w="1067" w:type="dxa"/>
            <w:noWrap w:val="0"/>
            <w:vAlign w:val="top"/>
          </w:tcPr>
          <w:p>
            <w:pPr>
              <w:widowControl w:val="0"/>
              <w:spacing w:line="560" w:lineRule="exact"/>
              <w:jc w:val="both"/>
              <w:rPr>
                <w:rFonts w:ascii="Times New Roman" w:hAnsi="Times New Roman" w:cs="Times New Roman"/>
                <w:color w:val="auto"/>
              </w:rPr>
            </w:pPr>
          </w:p>
        </w:tc>
        <w:tc>
          <w:tcPr>
            <w:tcW w:w="912" w:type="dxa"/>
            <w:noWrap w:val="0"/>
            <w:vAlign w:val="top"/>
          </w:tcPr>
          <w:p>
            <w:pPr>
              <w:widowControl w:val="0"/>
              <w:spacing w:line="560" w:lineRule="exact"/>
              <w:jc w:val="both"/>
              <w:rPr>
                <w:rFonts w:ascii="Times New Roman" w:hAnsi="Times New Roman" w:cs="Times New Roman"/>
                <w:color w:val="auto"/>
              </w:rPr>
            </w:pPr>
          </w:p>
        </w:tc>
        <w:tc>
          <w:tcPr>
            <w:tcW w:w="1293" w:type="dxa"/>
            <w:noWrap w:val="0"/>
            <w:vAlign w:val="top"/>
          </w:tcPr>
          <w:p>
            <w:pPr>
              <w:widowControl w:val="0"/>
              <w:spacing w:line="560" w:lineRule="exact"/>
              <w:jc w:val="both"/>
              <w:rPr>
                <w:rFonts w:ascii="Times New Roman" w:hAnsi="Times New Roman" w:cs="Times New Roman"/>
                <w:color w:val="auto"/>
              </w:rPr>
            </w:pPr>
          </w:p>
        </w:tc>
        <w:tc>
          <w:tcPr>
            <w:tcW w:w="1135" w:type="dxa"/>
            <w:noWrap w:val="0"/>
            <w:vAlign w:val="top"/>
          </w:tcPr>
          <w:p>
            <w:pPr>
              <w:widowControl w:val="0"/>
              <w:spacing w:line="560" w:lineRule="exact"/>
              <w:jc w:val="both"/>
              <w:rPr>
                <w:rFonts w:ascii="Times New Roman" w:hAnsi="Times New Roman" w:cs="Times New Roman"/>
                <w:color w:val="auto"/>
              </w:rPr>
            </w:pPr>
          </w:p>
        </w:tc>
        <w:tc>
          <w:tcPr>
            <w:tcW w:w="978" w:type="dxa"/>
            <w:noWrap w:val="0"/>
            <w:vAlign w:val="top"/>
          </w:tcPr>
          <w:p>
            <w:pPr>
              <w:widowControl w:val="0"/>
              <w:spacing w:line="560" w:lineRule="exact"/>
              <w:jc w:val="both"/>
              <w:rPr>
                <w:rFonts w:ascii="Times New Roman" w:hAnsi="Times New Roman" w:cs="Times New Roman"/>
                <w:color w:val="auto"/>
              </w:rPr>
            </w:pPr>
          </w:p>
        </w:tc>
        <w:tc>
          <w:tcPr>
            <w:tcW w:w="825" w:type="dxa"/>
            <w:noWrap w:val="0"/>
            <w:vAlign w:val="top"/>
          </w:tcPr>
          <w:p>
            <w:pPr>
              <w:widowControl w:val="0"/>
              <w:spacing w:line="560" w:lineRule="exact"/>
              <w:jc w:val="both"/>
              <w:rPr>
                <w:rFonts w:ascii="Times New Roman" w:hAnsi="Times New Roman" w:cs="Times New Roman"/>
                <w:color w:val="auto"/>
              </w:rPr>
            </w:pPr>
          </w:p>
        </w:tc>
        <w:tc>
          <w:tcPr>
            <w:tcW w:w="1417" w:type="dxa"/>
            <w:noWrap w:val="0"/>
            <w:vAlign w:val="top"/>
          </w:tcPr>
          <w:p>
            <w:pPr>
              <w:widowControl w:val="0"/>
              <w:spacing w:line="560" w:lineRule="exact"/>
              <w:jc w:val="both"/>
              <w:rPr>
                <w:rFonts w:ascii="Times New Roman" w:hAnsi="Times New Roman" w:cs="Times New Roman"/>
                <w:color w:val="auto"/>
              </w:rPr>
            </w:pPr>
          </w:p>
        </w:tc>
        <w:tc>
          <w:tcPr>
            <w:tcW w:w="935" w:type="dxa"/>
            <w:noWrap w:val="0"/>
            <w:vAlign w:val="top"/>
          </w:tcPr>
          <w:p>
            <w:pPr>
              <w:widowControl w:val="0"/>
              <w:spacing w:line="560" w:lineRule="exact"/>
              <w:jc w:val="both"/>
              <w:rPr>
                <w:rFonts w:ascii="Times New Roman" w:hAnsi="Times New Roman" w:cs="Times New Roman"/>
                <w:color w:val="auto"/>
              </w:rPr>
            </w:pPr>
          </w:p>
        </w:tc>
        <w:tc>
          <w:tcPr>
            <w:tcW w:w="941" w:type="dxa"/>
            <w:noWrap w:val="0"/>
            <w:vAlign w:val="top"/>
          </w:tcPr>
          <w:p>
            <w:pPr>
              <w:widowControl w:val="0"/>
              <w:spacing w:line="560" w:lineRule="exact"/>
              <w:jc w:val="both"/>
              <w:rPr>
                <w:rFonts w:ascii="Times New Roman" w:hAnsi="Times New Roman" w:cs="Times New Roman"/>
                <w:color w:val="auto"/>
              </w:rPr>
            </w:pPr>
          </w:p>
        </w:tc>
        <w:tc>
          <w:tcPr>
            <w:tcW w:w="865" w:type="dxa"/>
            <w:noWrap w:val="0"/>
            <w:vAlign w:val="top"/>
          </w:tcPr>
          <w:p>
            <w:pPr>
              <w:widowControl w:val="0"/>
              <w:spacing w:line="560" w:lineRule="exact"/>
              <w:jc w:val="both"/>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70" w:type="dxa"/>
            <w:noWrap w:val="0"/>
            <w:vAlign w:val="center"/>
          </w:tcPr>
          <w:p>
            <w:pPr>
              <w:widowControl w:val="0"/>
              <w:spacing w:line="560" w:lineRule="exact"/>
              <w:jc w:val="center"/>
              <w:rPr>
                <w:rFonts w:hint="eastAsia" w:ascii="Times New Roman" w:hAnsi="Times New Roman" w:eastAsia="宋体" w:cs="Times New Roman"/>
                <w:color w:val="auto"/>
                <w:lang w:val="en-US" w:eastAsia="zh-CN"/>
              </w:rPr>
            </w:pPr>
            <w:r>
              <w:rPr>
                <w:rFonts w:hint="eastAsia" w:cs="Times New Roman"/>
                <w:color w:val="auto"/>
                <w:lang w:val="en-US" w:eastAsia="zh-CN"/>
              </w:rPr>
              <w:t>3</w:t>
            </w:r>
          </w:p>
        </w:tc>
        <w:tc>
          <w:tcPr>
            <w:tcW w:w="1290" w:type="dxa"/>
            <w:noWrap w:val="0"/>
            <w:vAlign w:val="top"/>
          </w:tcPr>
          <w:p>
            <w:pPr>
              <w:widowControl w:val="0"/>
              <w:spacing w:line="560" w:lineRule="exact"/>
              <w:jc w:val="both"/>
              <w:rPr>
                <w:rFonts w:ascii="Times New Roman" w:hAnsi="Times New Roman" w:cs="Times New Roman"/>
                <w:color w:val="auto"/>
              </w:rPr>
            </w:pPr>
          </w:p>
        </w:tc>
        <w:tc>
          <w:tcPr>
            <w:tcW w:w="900" w:type="dxa"/>
            <w:noWrap w:val="0"/>
            <w:vAlign w:val="top"/>
          </w:tcPr>
          <w:p>
            <w:pPr>
              <w:widowControl w:val="0"/>
              <w:spacing w:line="560" w:lineRule="exact"/>
              <w:jc w:val="both"/>
              <w:rPr>
                <w:rFonts w:ascii="Times New Roman" w:hAnsi="Times New Roman" w:cs="Times New Roman"/>
                <w:color w:val="auto"/>
              </w:rPr>
            </w:pPr>
          </w:p>
        </w:tc>
        <w:tc>
          <w:tcPr>
            <w:tcW w:w="690" w:type="dxa"/>
            <w:noWrap w:val="0"/>
            <w:vAlign w:val="top"/>
          </w:tcPr>
          <w:p>
            <w:pPr>
              <w:widowControl w:val="0"/>
              <w:spacing w:line="560" w:lineRule="exact"/>
              <w:jc w:val="both"/>
              <w:rPr>
                <w:rFonts w:ascii="Times New Roman" w:hAnsi="Times New Roman" w:cs="Times New Roman"/>
                <w:color w:val="auto"/>
              </w:rPr>
            </w:pPr>
          </w:p>
        </w:tc>
        <w:tc>
          <w:tcPr>
            <w:tcW w:w="690" w:type="dxa"/>
            <w:noWrap w:val="0"/>
            <w:vAlign w:val="top"/>
          </w:tcPr>
          <w:p>
            <w:pPr>
              <w:widowControl w:val="0"/>
              <w:spacing w:line="560" w:lineRule="exact"/>
              <w:jc w:val="both"/>
              <w:rPr>
                <w:rFonts w:ascii="Times New Roman" w:hAnsi="Times New Roman" w:cs="Times New Roman"/>
                <w:color w:val="auto"/>
              </w:rPr>
            </w:pPr>
          </w:p>
        </w:tc>
        <w:tc>
          <w:tcPr>
            <w:tcW w:w="690" w:type="dxa"/>
            <w:noWrap w:val="0"/>
            <w:vAlign w:val="top"/>
          </w:tcPr>
          <w:p>
            <w:pPr>
              <w:widowControl w:val="0"/>
              <w:spacing w:line="560" w:lineRule="exact"/>
              <w:jc w:val="both"/>
              <w:rPr>
                <w:rFonts w:ascii="Times New Roman" w:hAnsi="Times New Roman" w:cs="Times New Roman"/>
                <w:color w:val="auto"/>
              </w:rPr>
            </w:pPr>
          </w:p>
        </w:tc>
        <w:tc>
          <w:tcPr>
            <w:tcW w:w="1067" w:type="dxa"/>
            <w:noWrap w:val="0"/>
            <w:vAlign w:val="top"/>
          </w:tcPr>
          <w:p>
            <w:pPr>
              <w:widowControl w:val="0"/>
              <w:spacing w:line="560" w:lineRule="exact"/>
              <w:jc w:val="both"/>
              <w:rPr>
                <w:rFonts w:ascii="Times New Roman" w:hAnsi="Times New Roman" w:cs="Times New Roman"/>
                <w:color w:val="auto"/>
              </w:rPr>
            </w:pPr>
          </w:p>
        </w:tc>
        <w:tc>
          <w:tcPr>
            <w:tcW w:w="912" w:type="dxa"/>
            <w:noWrap w:val="0"/>
            <w:vAlign w:val="top"/>
          </w:tcPr>
          <w:p>
            <w:pPr>
              <w:widowControl w:val="0"/>
              <w:spacing w:line="560" w:lineRule="exact"/>
              <w:jc w:val="both"/>
              <w:rPr>
                <w:rFonts w:ascii="Times New Roman" w:hAnsi="Times New Roman" w:cs="Times New Roman"/>
                <w:color w:val="auto"/>
              </w:rPr>
            </w:pPr>
          </w:p>
        </w:tc>
        <w:tc>
          <w:tcPr>
            <w:tcW w:w="1293" w:type="dxa"/>
            <w:noWrap w:val="0"/>
            <w:vAlign w:val="top"/>
          </w:tcPr>
          <w:p>
            <w:pPr>
              <w:widowControl w:val="0"/>
              <w:spacing w:line="560" w:lineRule="exact"/>
              <w:jc w:val="both"/>
              <w:rPr>
                <w:rFonts w:ascii="Times New Roman" w:hAnsi="Times New Roman" w:cs="Times New Roman"/>
                <w:color w:val="auto"/>
              </w:rPr>
            </w:pPr>
          </w:p>
        </w:tc>
        <w:tc>
          <w:tcPr>
            <w:tcW w:w="1135" w:type="dxa"/>
            <w:noWrap w:val="0"/>
            <w:vAlign w:val="top"/>
          </w:tcPr>
          <w:p>
            <w:pPr>
              <w:widowControl w:val="0"/>
              <w:spacing w:line="560" w:lineRule="exact"/>
              <w:jc w:val="both"/>
              <w:rPr>
                <w:rFonts w:ascii="Times New Roman" w:hAnsi="Times New Roman" w:cs="Times New Roman"/>
                <w:color w:val="auto"/>
              </w:rPr>
            </w:pPr>
          </w:p>
        </w:tc>
        <w:tc>
          <w:tcPr>
            <w:tcW w:w="978" w:type="dxa"/>
            <w:noWrap w:val="0"/>
            <w:vAlign w:val="top"/>
          </w:tcPr>
          <w:p>
            <w:pPr>
              <w:widowControl w:val="0"/>
              <w:spacing w:line="560" w:lineRule="exact"/>
              <w:jc w:val="both"/>
              <w:rPr>
                <w:rFonts w:ascii="Times New Roman" w:hAnsi="Times New Roman" w:cs="Times New Roman"/>
                <w:color w:val="auto"/>
              </w:rPr>
            </w:pPr>
          </w:p>
        </w:tc>
        <w:tc>
          <w:tcPr>
            <w:tcW w:w="825" w:type="dxa"/>
            <w:noWrap w:val="0"/>
            <w:vAlign w:val="top"/>
          </w:tcPr>
          <w:p>
            <w:pPr>
              <w:widowControl w:val="0"/>
              <w:spacing w:line="560" w:lineRule="exact"/>
              <w:jc w:val="both"/>
              <w:rPr>
                <w:rFonts w:ascii="Times New Roman" w:hAnsi="Times New Roman" w:cs="Times New Roman"/>
                <w:color w:val="auto"/>
              </w:rPr>
            </w:pPr>
          </w:p>
        </w:tc>
        <w:tc>
          <w:tcPr>
            <w:tcW w:w="1417" w:type="dxa"/>
            <w:noWrap w:val="0"/>
            <w:vAlign w:val="top"/>
          </w:tcPr>
          <w:p>
            <w:pPr>
              <w:widowControl w:val="0"/>
              <w:spacing w:line="560" w:lineRule="exact"/>
              <w:jc w:val="both"/>
              <w:rPr>
                <w:rFonts w:ascii="Times New Roman" w:hAnsi="Times New Roman" w:cs="Times New Roman"/>
                <w:color w:val="auto"/>
              </w:rPr>
            </w:pPr>
          </w:p>
        </w:tc>
        <w:tc>
          <w:tcPr>
            <w:tcW w:w="93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cs="Times New Roman"/>
                <w:color w:val="auto"/>
              </w:rPr>
            </w:pPr>
          </w:p>
        </w:tc>
        <w:tc>
          <w:tcPr>
            <w:tcW w:w="941" w:type="dxa"/>
            <w:noWrap w:val="0"/>
            <w:vAlign w:val="top"/>
          </w:tcPr>
          <w:p>
            <w:pPr>
              <w:widowControl w:val="0"/>
              <w:spacing w:line="560" w:lineRule="exact"/>
              <w:jc w:val="both"/>
              <w:rPr>
                <w:rFonts w:ascii="Times New Roman" w:hAnsi="Times New Roman" w:cs="Times New Roman"/>
                <w:color w:val="auto"/>
              </w:rPr>
            </w:pPr>
          </w:p>
        </w:tc>
        <w:tc>
          <w:tcPr>
            <w:tcW w:w="865" w:type="dxa"/>
            <w:noWrap w:val="0"/>
            <w:vAlign w:val="top"/>
          </w:tcPr>
          <w:p>
            <w:pPr>
              <w:widowControl w:val="0"/>
              <w:spacing w:line="560" w:lineRule="exact"/>
              <w:jc w:val="both"/>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70" w:type="dxa"/>
            <w:noWrap w:val="0"/>
            <w:vAlign w:val="center"/>
          </w:tcPr>
          <w:p>
            <w:pPr>
              <w:widowControl w:val="0"/>
              <w:spacing w:line="560" w:lineRule="exact"/>
              <w:jc w:val="center"/>
              <w:rPr>
                <w:rFonts w:hint="eastAsia" w:ascii="Times New Roman" w:hAnsi="Times New Roman" w:eastAsia="宋体" w:cs="Times New Roman"/>
                <w:color w:val="auto"/>
                <w:lang w:val="en-US" w:eastAsia="zh-CN"/>
              </w:rPr>
            </w:pPr>
            <w:r>
              <w:rPr>
                <w:rFonts w:hint="eastAsia" w:cs="Times New Roman"/>
                <w:color w:val="auto"/>
                <w:lang w:val="en-US" w:eastAsia="zh-CN"/>
              </w:rPr>
              <w:t>4</w:t>
            </w:r>
          </w:p>
        </w:tc>
        <w:tc>
          <w:tcPr>
            <w:tcW w:w="1290" w:type="dxa"/>
            <w:noWrap w:val="0"/>
            <w:vAlign w:val="top"/>
          </w:tcPr>
          <w:p>
            <w:pPr>
              <w:widowControl w:val="0"/>
              <w:spacing w:line="560" w:lineRule="exact"/>
              <w:jc w:val="both"/>
              <w:rPr>
                <w:rFonts w:ascii="Times New Roman" w:hAnsi="Times New Roman" w:cs="Times New Roman"/>
                <w:color w:val="auto"/>
              </w:rPr>
            </w:pPr>
          </w:p>
        </w:tc>
        <w:tc>
          <w:tcPr>
            <w:tcW w:w="900" w:type="dxa"/>
            <w:noWrap w:val="0"/>
            <w:vAlign w:val="top"/>
          </w:tcPr>
          <w:p>
            <w:pPr>
              <w:widowControl w:val="0"/>
              <w:spacing w:line="560" w:lineRule="exact"/>
              <w:jc w:val="both"/>
              <w:rPr>
                <w:rFonts w:ascii="Times New Roman" w:hAnsi="Times New Roman" w:cs="Times New Roman"/>
                <w:color w:val="auto"/>
              </w:rPr>
            </w:pPr>
          </w:p>
        </w:tc>
        <w:tc>
          <w:tcPr>
            <w:tcW w:w="690" w:type="dxa"/>
            <w:noWrap w:val="0"/>
            <w:vAlign w:val="top"/>
          </w:tcPr>
          <w:p>
            <w:pPr>
              <w:widowControl w:val="0"/>
              <w:spacing w:line="560" w:lineRule="exact"/>
              <w:jc w:val="both"/>
              <w:rPr>
                <w:rFonts w:ascii="Times New Roman" w:hAnsi="Times New Roman" w:cs="Times New Roman"/>
                <w:color w:val="auto"/>
              </w:rPr>
            </w:pPr>
          </w:p>
        </w:tc>
        <w:tc>
          <w:tcPr>
            <w:tcW w:w="690" w:type="dxa"/>
            <w:noWrap w:val="0"/>
            <w:vAlign w:val="top"/>
          </w:tcPr>
          <w:p>
            <w:pPr>
              <w:widowControl w:val="0"/>
              <w:spacing w:line="560" w:lineRule="exact"/>
              <w:jc w:val="both"/>
              <w:rPr>
                <w:rFonts w:ascii="Times New Roman" w:hAnsi="Times New Roman" w:cs="Times New Roman"/>
                <w:color w:val="auto"/>
              </w:rPr>
            </w:pPr>
          </w:p>
        </w:tc>
        <w:tc>
          <w:tcPr>
            <w:tcW w:w="690" w:type="dxa"/>
            <w:noWrap w:val="0"/>
            <w:vAlign w:val="top"/>
          </w:tcPr>
          <w:p>
            <w:pPr>
              <w:widowControl w:val="0"/>
              <w:spacing w:line="560" w:lineRule="exact"/>
              <w:jc w:val="both"/>
              <w:rPr>
                <w:rFonts w:ascii="Times New Roman" w:hAnsi="Times New Roman" w:cs="Times New Roman"/>
                <w:color w:val="auto"/>
              </w:rPr>
            </w:pPr>
          </w:p>
        </w:tc>
        <w:tc>
          <w:tcPr>
            <w:tcW w:w="1067" w:type="dxa"/>
            <w:noWrap w:val="0"/>
            <w:vAlign w:val="top"/>
          </w:tcPr>
          <w:p>
            <w:pPr>
              <w:widowControl w:val="0"/>
              <w:spacing w:line="560" w:lineRule="exact"/>
              <w:jc w:val="both"/>
              <w:rPr>
                <w:rFonts w:ascii="Times New Roman" w:hAnsi="Times New Roman" w:cs="Times New Roman"/>
                <w:color w:val="auto"/>
              </w:rPr>
            </w:pPr>
          </w:p>
        </w:tc>
        <w:tc>
          <w:tcPr>
            <w:tcW w:w="912" w:type="dxa"/>
            <w:noWrap w:val="0"/>
            <w:vAlign w:val="top"/>
          </w:tcPr>
          <w:p>
            <w:pPr>
              <w:widowControl w:val="0"/>
              <w:spacing w:line="560" w:lineRule="exact"/>
              <w:jc w:val="both"/>
              <w:rPr>
                <w:rFonts w:ascii="Times New Roman" w:hAnsi="Times New Roman" w:cs="Times New Roman"/>
                <w:color w:val="auto"/>
              </w:rPr>
            </w:pPr>
          </w:p>
        </w:tc>
        <w:tc>
          <w:tcPr>
            <w:tcW w:w="1293" w:type="dxa"/>
            <w:noWrap w:val="0"/>
            <w:vAlign w:val="top"/>
          </w:tcPr>
          <w:p>
            <w:pPr>
              <w:widowControl w:val="0"/>
              <w:spacing w:line="560" w:lineRule="exact"/>
              <w:jc w:val="both"/>
              <w:rPr>
                <w:rFonts w:ascii="Times New Roman" w:hAnsi="Times New Roman" w:cs="Times New Roman"/>
                <w:color w:val="auto"/>
              </w:rPr>
            </w:pPr>
          </w:p>
        </w:tc>
        <w:tc>
          <w:tcPr>
            <w:tcW w:w="1135" w:type="dxa"/>
            <w:noWrap w:val="0"/>
            <w:vAlign w:val="top"/>
          </w:tcPr>
          <w:p>
            <w:pPr>
              <w:widowControl w:val="0"/>
              <w:spacing w:line="560" w:lineRule="exact"/>
              <w:jc w:val="both"/>
              <w:rPr>
                <w:rFonts w:ascii="Times New Roman" w:hAnsi="Times New Roman" w:cs="Times New Roman"/>
                <w:color w:val="auto"/>
              </w:rPr>
            </w:pPr>
          </w:p>
        </w:tc>
        <w:tc>
          <w:tcPr>
            <w:tcW w:w="978" w:type="dxa"/>
            <w:noWrap w:val="0"/>
            <w:vAlign w:val="top"/>
          </w:tcPr>
          <w:p>
            <w:pPr>
              <w:widowControl w:val="0"/>
              <w:spacing w:line="560" w:lineRule="exact"/>
              <w:jc w:val="both"/>
              <w:rPr>
                <w:rFonts w:ascii="Times New Roman" w:hAnsi="Times New Roman" w:cs="Times New Roman"/>
                <w:color w:val="auto"/>
              </w:rPr>
            </w:pPr>
          </w:p>
        </w:tc>
        <w:tc>
          <w:tcPr>
            <w:tcW w:w="825" w:type="dxa"/>
            <w:noWrap w:val="0"/>
            <w:vAlign w:val="top"/>
          </w:tcPr>
          <w:p>
            <w:pPr>
              <w:widowControl w:val="0"/>
              <w:spacing w:line="560" w:lineRule="exact"/>
              <w:jc w:val="both"/>
              <w:rPr>
                <w:rFonts w:ascii="Times New Roman" w:hAnsi="Times New Roman" w:cs="Times New Roman"/>
                <w:color w:val="auto"/>
              </w:rPr>
            </w:pPr>
          </w:p>
        </w:tc>
        <w:tc>
          <w:tcPr>
            <w:tcW w:w="1417" w:type="dxa"/>
            <w:noWrap w:val="0"/>
            <w:vAlign w:val="top"/>
          </w:tcPr>
          <w:p>
            <w:pPr>
              <w:widowControl w:val="0"/>
              <w:spacing w:line="560" w:lineRule="exact"/>
              <w:jc w:val="both"/>
              <w:rPr>
                <w:rFonts w:ascii="Times New Roman" w:hAnsi="Times New Roman" w:cs="Times New Roman"/>
                <w:color w:val="auto"/>
              </w:rPr>
            </w:pPr>
          </w:p>
        </w:tc>
        <w:tc>
          <w:tcPr>
            <w:tcW w:w="935" w:type="dxa"/>
            <w:noWrap w:val="0"/>
            <w:vAlign w:val="top"/>
          </w:tcPr>
          <w:p>
            <w:pPr>
              <w:widowControl w:val="0"/>
              <w:spacing w:line="560" w:lineRule="exact"/>
              <w:jc w:val="both"/>
              <w:rPr>
                <w:rFonts w:ascii="Times New Roman" w:hAnsi="Times New Roman" w:cs="Times New Roman"/>
                <w:color w:val="auto"/>
              </w:rPr>
            </w:pPr>
          </w:p>
        </w:tc>
        <w:tc>
          <w:tcPr>
            <w:tcW w:w="941" w:type="dxa"/>
            <w:noWrap w:val="0"/>
            <w:vAlign w:val="top"/>
          </w:tcPr>
          <w:p>
            <w:pPr>
              <w:widowControl w:val="0"/>
              <w:spacing w:line="560" w:lineRule="exact"/>
              <w:jc w:val="both"/>
              <w:rPr>
                <w:rFonts w:ascii="Times New Roman" w:hAnsi="Times New Roman" w:cs="Times New Roman"/>
                <w:color w:val="auto"/>
              </w:rPr>
            </w:pPr>
          </w:p>
        </w:tc>
        <w:tc>
          <w:tcPr>
            <w:tcW w:w="865" w:type="dxa"/>
            <w:noWrap w:val="0"/>
            <w:vAlign w:val="top"/>
          </w:tcPr>
          <w:p>
            <w:pPr>
              <w:widowControl w:val="0"/>
              <w:spacing w:line="560" w:lineRule="exact"/>
              <w:jc w:val="both"/>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70" w:type="dxa"/>
            <w:noWrap w:val="0"/>
            <w:vAlign w:val="center"/>
          </w:tcPr>
          <w:p>
            <w:pPr>
              <w:widowControl w:val="0"/>
              <w:spacing w:line="560" w:lineRule="exact"/>
              <w:jc w:val="center"/>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1290" w:type="dxa"/>
            <w:noWrap w:val="0"/>
            <w:vAlign w:val="top"/>
          </w:tcPr>
          <w:p>
            <w:pPr>
              <w:widowControl w:val="0"/>
              <w:spacing w:line="560" w:lineRule="exact"/>
              <w:jc w:val="both"/>
              <w:rPr>
                <w:rFonts w:ascii="Times New Roman" w:hAnsi="Times New Roman" w:cs="Times New Roman"/>
                <w:color w:val="auto"/>
              </w:rPr>
            </w:pPr>
          </w:p>
        </w:tc>
        <w:tc>
          <w:tcPr>
            <w:tcW w:w="900" w:type="dxa"/>
            <w:noWrap w:val="0"/>
            <w:vAlign w:val="top"/>
          </w:tcPr>
          <w:p>
            <w:pPr>
              <w:widowControl w:val="0"/>
              <w:spacing w:line="560" w:lineRule="exact"/>
              <w:jc w:val="both"/>
              <w:rPr>
                <w:rFonts w:ascii="Times New Roman" w:hAnsi="Times New Roman" w:cs="Times New Roman"/>
                <w:color w:val="auto"/>
              </w:rPr>
            </w:pPr>
          </w:p>
        </w:tc>
        <w:tc>
          <w:tcPr>
            <w:tcW w:w="690" w:type="dxa"/>
            <w:noWrap w:val="0"/>
            <w:vAlign w:val="top"/>
          </w:tcPr>
          <w:p>
            <w:pPr>
              <w:widowControl w:val="0"/>
              <w:spacing w:line="560" w:lineRule="exact"/>
              <w:jc w:val="both"/>
              <w:rPr>
                <w:rFonts w:ascii="Times New Roman" w:hAnsi="Times New Roman" w:cs="Times New Roman"/>
                <w:color w:val="auto"/>
              </w:rPr>
            </w:pPr>
          </w:p>
        </w:tc>
        <w:tc>
          <w:tcPr>
            <w:tcW w:w="690" w:type="dxa"/>
            <w:noWrap w:val="0"/>
            <w:vAlign w:val="top"/>
          </w:tcPr>
          <w:p>
            <w:pPr>
              <w:widowControl w:val="0"/>
              <w:spacing w:line="560" w:lineRule="exact"/>
              <w:jc w:val="both"/>
              <w:rPr>
                <w:rFonts w:ascii="Times New Roman" w:hAnsi="Times New Roman" w:cs="Times New Roman"/>
                <w:color w:val="auto"/>
              </w:rPr>
            </w:pPr>
          </w:p>
        </w:tc>
        <w:tc>
          <w:tcPr>
            <w:tcW w:w="690" w:type="dxa"/>
            <w:noWrap w:val="0"/>
            <w:vAlign w:val="top"/>
          </w:tcPr>
          <w:p>
            <w:pPr>
              <w:widowControl w:val="0"/>
              <w:spacing w:line="560" w:lineRule="exact"/>
              <w:jc w:val="both"/>
              <w:rPr>
                <w:rFonts w:ascii="Times New Roman" w:hAnsi="Times New Roman" w:cs="Times New Roman"/>
                <w:color w:val="auto"/>
              </w:rPr>
            </w:pPr>
          </w:p>
        </w:tc>
        <w:tc>
          <w:tcPr>
            <w:tcW w:w="1067" w:type="dxa"/>
            <w:noWrap w:val="0"/>
            <w:vAlign w:val="top"/>
          </w:tcPr>
          <w:p>
            <w:pPr>
              <w:widowControl w:val="0"/>
              <w:spacing w:line="560" w:lineRule="exact"/>
              <w:jc w:val="both"/>
              <w:rPr>
                <w:rFonts w:ascii="Times New Roman" w:hAnsi="Times New Roman" w:cs="Times New Roman"/>
                <w:color w:val="auto"/>
              </w:rPr>
            </w:pPr>
          </w:p>
        </w:tc>
        <w:tc>
          <w:tcPr>
            <w:tcW w:w="912" w:type="dxa"/>
            <w:noWrap w:val="0"/>
            <w:vAlign w:val="top"/>
          </w:tcPr>
          <w:p>
            <w:pPr>
              <w:widowControl w:val="0"/>
              <w:spacing w:line="560" w:lineRule="exact"/>
              <w:jc w:val="both"/>
              <w:rPr>
                <w:rFonts w:ascii="Times New Roman" w:hAnsi="Times New Roman" w:cs="Times New Roman"/>
                <w:color w:val="auto"/>
              </w:rPr>
            </w:pPr>
          </w:p>
        </w:tc>
        <w:tc>
          <w:tcPr>
            <w:tcW w:w="1293" w:type="dxa"/>
            <w:noWrap w:val="0"/>
            <w:vAlign w:val="top"/>
          </w:tcPr>
          <w:p>
            <w:pPr>
              <w:widowControl w:val="0"/>
              <w:spacing w:line="560" w:lineRule="exact"/>
              <w:jc w:val="both"/>
              <w:rPr>
                <w:rFonts w:ascii="Times New Roman" w:hAnsi="Times New Roman" w:cs="Times New Roman"/>
                <w:color w:val="auto"/>
              </w:rPr>
            </w:pPr>
          </w:p>
        </w:tc>
        <w:tc>
          <w:tcPr>
            <w:tcW w:w="1135" w:type="dxa"/>
            <w:noWrap w:val="0"/>
            <w:vAlign w:val="top"/>
          </w:tcPr>
          <w:p>
            <w:pPr>
              <w:widowControl w:val="0"/>
              <w:spacing w:line="560" w:lineRule="exact"/>
              <w:jc w:val="both"/>
              <w:rPr>
                <w:rFonts w:ascii="Times New Roman" w:hAnsi="Times New Roman" w:cs="Times New Roman"/>
                <w:color w:val="auto"/>
              </w:rPr>
            </w:pPr>
          </w:p>
        </w:tc>
        <w:tc>
          <w:tcPr>
            <w:tcW w:w="978" w:type="dxa"/>
            <w:noWrap w:val="0"/>
            <w:vAlign w:val="top"/>
          </w:tcPr>
          <w:p>
            <w:pPr>
              <w:widowControl w:val="0"/>
              <w:spacing w:line="560" w:lineRule="exact"/>
              <w:jc w:val="both"/>
              <w:rPr>
                <w:rFonts w:ascii="Times New Roman" w:hAnsi="Times New Roman" w:cs="Times New Roman"/>
                <w:color w:val="auto"/>
              </w:rPr>
            </w:pPr>
          </w:p>
        </w:tc>
        <w:tc>
          <w:tcPr>
            <w:tcW w:w="825" w:type="dxa"/>
            <w:noWrap w:val="0"/>
            <w:vAlign w:val="top"/>
          </w:tcPr>
          <w:p>
            <w:pPr>
              <w:widowControl w:val="0"/>
              <w:spacing w:line="560" w:lineRule="exact"/>
              <w:jc w:val="both"/>
              <w:rPr>
                <w:rFonts w:ascii="Times New Roman" w:hAnsi="Times New Roman" w:cs="Times New Roman"/>
                <w:color w:val="auto"/>
              </w:rPr>
            </w:pPr>
          </w:p>
        </w:tc>
        <w:tc>
          <w:tcPr>
            <w:tcW w:w="1417" w:type="dxa"/>
            <w:noWrap w:val="0"/>
            <w:vAlign w:val="top"/>
          </w:tcPr>
          <w:p>
            <w:pPr>
              <w:widowControl w:val="0"/>
              <w:spacing w:line="560" w:lineRule="exact"/>
              <w:jc w:val="both"/>
              <w:rPr>
                <w:rFonts w:ascii="Times New Roman" w:hAnsi="Times New Roman" w:cs="Times New Roman"/>
                <w:color w:val="auto"/>
              </w:rPr>
            </w:pPr>
          </w:p>
        </w:tc>
        <w:tc>
          <w:tcPr>
            <w:tcW w:w="935" w:type="dxa"/>
            <w:noWrap w:val="0"/>
            <w:vAlign w:val="top"/>
          </w:tcPr>
          <w:p>
            <w:pPr>
              <w:widowControl w:val="0"/>
              <w:spacing w:line="560" w:lineRule="exact"/>
              <w:jc w:val="both"/>
              <w:rPr>
                <w:rFonts w:ascii="Times New Roman" w:hAnsi="Times New Roman" w:cs="Times New Roman"/>
                <w:color w:val="auto"/>
              </w:rPr>
            </w:pPr>
          </w:p>
        </w:tc>
        <w:tc>
          <w:tcPr>
            <w:tcW w:w="941" w:type="dxa"/>
            <w:noWrap w:val="0"/>
            <w:vAlign w:val="top"/>
          </w:tcPr>
          <w:p>
            <w:pPr>
              <w:widowControl w:val="0"/>
              <w:spacing w:line="560" w:lineRule="exact"/>
              <w:jc w:val="both"/>
              <w:rPr>
                <w:rFonts w:ascii="Times New Roman" w:hAnsi="Times New Roman" w:cs="Times New Roman"/>
                <w:color w:val="auto"/>
              </w:rPr>
            </w:pPr>
          </w:p>
        </w:tc>
        <w:tc>
          <w:tcPr>
            <w:tcW w:w="865" w:type="dxa"/>
            <w:noWrap w:val="0"/>
            <w:vAlign w:val="top"/>
          </w:tcPr>
          <w:p>
            <w:pPr>
              <w:widowControl w:val="0"/>
              <w:spacing w:line="560" w:lineRule="exact"/>
              <w:jc w:val="both"/>
              <w:rPr>
                <w:rFonts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Times New Roman" w:hAnsi="Times New Roman" w:eastAsia="仿宋" w:cs="Times New Roman"/>
          <w:color w:val="auto"/>
          <w:sz w:val="21"/>
          <w:szCs w:val="21"/>
        </w:rPr>
      </w:pPr>
      <w:r>
        <w:rPr>
          <w:rFonts w:ascii="Times New Roman" w:hAnsi="Times New Roman" w:eastAsia="仿宋" w:cs="Times New Roman"/>
          <w:color w:val="auto"/>
          <w:spacing w:val="-6"/>
          <w:sz w:val="21"/>
          <w:szCs w:val="21"/>
        </w:rPr>
        <w:t>说明：</w:t>
      </w:r>
      <w:r>
        <w:rPr>
          <w:rFonts w:ascii="Times New Roman" w:hAnsi="Times New Roman" w:eastAsia="Times New Roman" w:cs="Times New Roman"/>
          <w:color w:val="auto"/>
          <w:spacing w:val="-6"/>
          <w:sz w:val="21"/>
          <w:szCs w:val="21"/>
        </w:rPr>
        <w:t>1</w:t>
      </w:r>
      <w:r>
        <w:rPr>
          <w:rFonts w:ascii="Times New Roman" w:hAnsi="Times New Roman" w:eastAsia="仿宋" w:cs="Times New Roman"/>
          <w:color w:val="auto"/>
          <w:spacing w:val="-6"/>
          <w:sz w:val="21"/>
          <w:szCs w:val="21"/>
        </w:rPr>
        <w:t>.参照《国民经济行业分类》GB/T 4754-2017/XG1-2019，填写至小类4位数代码。</w:t>
      </w:r>
    </w:p>
    <w:p>
      <w:pPr>
        <w:keepNext w:val="0"/>
        <w:keepLines w:val="0"/>
        <w:pageBreakBefore w:val="0"/>
        <w:widowControl w:val="0"/>
        <w:kinsoku/>
        <w:wordWrap/>
        <w:overflowPunct/>
        <w:topLinePunct w:val="0"/>
        <w:autoSpaceDE/>
        <w:autoSpaceDN/>
        <w:bidi w:val="0"/>
        <w:adjustRightInd/>
        <w:snapToGrid/>
        <w:spacing w:line="480" w:lineRule="exact"/>
        <w:ind w:firstLine="519" w:firstLineChars="300"/>
        <w:jc w:val="both"/>
        <w:textAlignment w:val="auto"/>
        <w:rPr>
          <w:rFonts w:ascii="Times New Roman" w:hAnsi="Times New Roman" w:eastAsia="仿宋" w:cs="Times New Roman"/>
          <w:color w:val="auto"/>
          <w:sz w:val="21"/>
          <w:szCs w:val="21"/>
        </w:rPr>
      </w:pPr>
      <w:r>
        <w:rPr>
          <w:rFonts w:ascii="Times New Roman" w:hAnsi="Times New Roman" w:eastAsia="Times New Roman" w:cs="Times New Roman"/>
          <w:color w:val="auto"/>
          <w:spacing w:val="-10"/>
          <w:sz w:val="21"/>
          <w:szCs w:val="21"/>
        </w:rPr>
        <w:t>2</w:t>
      </w:r>
      <w:r>
        <w:rPr>
          <w:rFonts w:ascii="Times New Roman" w:hAnsi="Times New Roman" w:eastAsia="仿宋" w:cs="Times New Roman"/>
          <w:color w:val="auto"/>
          <w:spacing w:val="-10"/>
          <w:sz w:val="21"/>
          <w:szCs w:val="21"/>
        </w:rPr>
        <w:t>.规模按照以下分类填写：大型（从业人员</w:t>
      </w:r>
      <w:r>
        <w:rPr>
          <w:rFonts w:ascii="Times New Roman" w:hAnsi="Times New Roman" w:eastAsia="Times New Roman" w:cs="Times New Roman"/>
          <w:color w:val="auto"/>
          <w:spacing w:val="-10"/>
          <w:sz w:val="21"/>
          <w:szCs w:val="21"/>
        </w:rPr>
        <w:t>≥1000</w:t>
      </w:r>
      <w:r>
        <w:rPr>
          <w:rFonts w:ascii="Times New Roman" w:hAnsi="Times New Roman" w:eastAsia="仿宋" w:cs="Times New Roman"/>
          <w:color w:val="auto"/>
          <w:spacing w:val="-10"/>
          <w:sz w:val="21"/>
          <w:szCs w:val="21"/>
        </w:rPr>
        <w:t>人，营业收入</w:t>
      </w:r>
      <w:r>
        <w:rPr>
          <w:rFonts w:ascii="Times New Roman" w:hAnsi="Times New Roman" w:eastAsia="Times New Roman" w:cs="Times New Roman"/>
          <w:color w:val="auto"/>
          <w:spacing w:val="-10"/>
          <w:sz w:val="21"/>
          <w:szCs w:val="21"/>
        </w:rPr>
        <w:t>≥40000</w:t>
      </w:r>
      <w:r>
        <w:rPr>
          <w:rFonts w:ascii="Times New Roman" w:hAnsi="Times New Roman" w:eastAsia="仿宋" w:cs="Times New Roman"/>
          <w:color w:val="auto"/>
          <w:spacing w:val="-10"/>
          <w:sz w:val="21"/>
          <w:szCs w:val="21"/>
        </w:rPr>
        <w:t>万元）</w:t>
      </w:r>
      <w:r>
        <w:rPr>
          <w:rFonts w:hint="eastAsia" w:eastAsia="仿宋" w:cs="Times New Roman"/>
          <w:color w:val="auto"/>
          <w:spacing w:val="-10"/>
          <w:sz w:val="21"/>
          <w:szCs w:val="21"/>
          <w:lang w:val="en-US" w:eastAsia="zh-CN"/>
        </w:rPr>
        <w:t>;</w:t>
      </w:r>
      <w:r>
        <w:rPr>
          <w:rFonts w:ascii="Times New Roman" w:hAnsi="Times New Roman" w:eastAsia="仿宋" w:cs="Times New Roman"/>
          <w:color w:val="auto"/>
          <w:spacing w:val="-10"/>
          <w:sz w:val="21"/>
          <w:szCs w:val="21"/>
        </w:rPr>
        <w:t>中型（</w:t>
      </w:r>
      <w:r>
        <w:rPr>
          <w:rFonts w:ascii="Times New Roman" w:hAnsi="Times New Roman" w:eastAsia="Times New Roman" w:cs="Times New Roman"/>
          <w:color w:val="auto"/>
          <w:spacing w:val="-10"/>
          <w:sz w:val="21"/>
          <w:szCs w:val="21"/>
        </w:rPr>
        <w:t>300≤</w:t>
      </w:r>
      <w:r>
        <w:rPr>
          <w:rFonts w:ascii="Times New Roman" w:hAnsi="Times New Roman" w:eastAsia="仿宋" w:cs="Times New Roman"/>
          <w:color w:val="auto"/>
          <w:spacing w:val="-10"/>
          <w:sz w:val="21"/>
          <w:szCs w:val="21"/>
        </w:rPr>
        <w:t>从业人员＜</w:t>
      </w:r>
      <w:r>
        <w:rPr>
          <w:rFonts w:ascii="Times New Roman" w:hAnsi="Times New Roman" w:eastAsia="Times New Roman" w:cs="Times New Roman"/>
          <w:color w:val="auto"/>
          <w:spacing w:val="-10"/>
          <w:sz w:val="21"/>
          <w:szCs w:val="21"/>
        </w:rPr>
        <w:t>1000</w:t>
      </w:r>
      <w:r>
        <w:rPr>
          <w:rFonts w:ascii="Times New Roman" w:hAnsi="Times New Roman" w:eastAsia="Times New Roman" w:cs="Times New Roman"/>
          <w:color w:val="auto"/>
          <w:spacing w:val="11"/>
          <w:sz w:val="21"/>
          <w:szCs w:val="21"/>
        </w:rPr>
        <w:t xml:space="preserve"> </w:t>
      </w:r>
      <w:r>
        <w:rPr>
          <w:rFonts w:ascii="Times New Roman" w:hAnsi="Times New Roman" w:eastAsia="仿宋" w:cs="Times New Roman"/>
          <w:color w:val="auto"/>
          <w:spacing w:val="-10"/>
          <w:sz w:val="21"/>
          <w:szCs w:val="21"/>
        </w:rPr>
        <w:t>人，</w:t>
      </w:r>
      <w:r>
        <w:rPr>
          <w:rFonts w:ascii="Times New Roman" w:hAnsi="Times New Roman" w:eastAsia="Times New Roman" w:cs="Times New Roman"/>
          <w:color w:val="auto"/>
          <w:spacing w:val="-10"/>
          <w:sz w:val="21"/>
          <w:szCs w:val="21"/>
        </w:rPr>
        <w:t>2000≤</w:t>
      </w:r>
      <w:r>
        <w:rPr>
          <w:rFonts w:ascii="Times New Roman" w:hAnsi="Times New Roman" w:eastAsia="仿宋" w:cs="Times New Roman"/>
          <w:color w:val="auto"/>
          <w:spacing w:val="-10"/>
          <w:sz w:val="21"/>
          <w:szCs w:val="21"/>
        </w:rPr>
        <w:t>营</w:t>
      </w:r>
      <w:r>
        <w:rPr>
          <w:rFonts w:ascii="Times New Roman" w:hAnsi="Times New Roman" w:eastAsia="仿宋" w:cs="Times New Roman"/>
          <w:color w:val="auto"/>
          <w:spacing w:val="-13"/>
          <w:w w:val="99"/>
          <w:sz w:val="21"/>
          <w:szCs w:val="21"/>
        </w:rPr>
        <w:t>业收入＜</w:t>
      </w:r>
      <w:r>
        <w:rPr>
          <w:rFonts w:ascii="Times New Roman" w:hAnsi="Times New Roman" w:eastAsia="Times New Roman" w:cs="Times New Roman"/>
          <w:color w:val="auto"/>
          <w:spacing w:val="-13"/>
          <w:w w:val="99"/>
          <w:sz w:val="21"/>
          <w:szCs w:val="21"/>
        </w:rPr>
        <w:t>40000</w:t>
      </w:r>
      <w:r>
        <w:rPr>
          <w:rFonts w:ascii="Times New Roman" w:hAnsi="Times New Roman" w:eastAsia="仿宋" w:cs="Times New Roman"/>
          <w:color w:val="auto"/>
          <w:spacing w:val="-13"/>
          <w:w w:val="99"/>
          <w:sz w:val="21"/>
          <w:szCs w:val="21"/>
        </w:rPr>
        <w:t>万元）</w:t>
      </w:r>
      <w:r>
        <w:rPr>
          <w:rFonts w:hint="eastAsia" w:eastAsia="仿宋" w:cs="Times New Roman"/>
          <w:color w:val="auto"/>
          <w:spacing w:val="-13"/>
          <w:w w:val="99"/>
          <w:sz w:val="21"/>
          <w:szCs w:val="21"/>
          <w:lang w:val="en-US" w:eastAsia="zh-CN"/>
        </w:rPr>
        <w:t>;</w:t>
      </w:r>
      <w:r>
        <w:rPr>
          <w:rFonts w:ascii="Times New Roman" w:hAnsi="Times New Roman" w:eastAsia="仿宋" w:cs="Times New Roman"/>
          <w:color w:val="auto"/>
          <w:spacing w:val="-13"/>
          <w:w w:val="99"/>
          <w:sz w:val="21"/>
          <w:szCs w:val="21"/>
        </w:rPr>
        <w:t>小型（</w:t>
      </w:r>
      <w:r>
        <w:rPr>
          <w:rFonts w:ascii="Times New Roman" w:hAnsi="Times New Roman" w:eastAsia="Times New Roman" w:cs="Times New Roman"/>
          <w:color w:val="auto"/>
          <w:spacing w:val="-13"/>
          <w:w w:val="99"/>
          <w:sz w:val="21"/>
          <w:szCs w:val="21"/>
        </w:rPr>
        <w:t>20</w:t>
      </w:r>
      <w:r>
        <w:rPr>
          <w:rFonts w:ascii="Times New Roman" w:hAnsi="Times New Roman" w:eastAsia="仿宋" w:cs="Times New Roman"/>
          <w:color w:val="auto"/>
          <w:spacing w:val="-13"/>
          <w:w w:val="99"/>
          <w:sz w:val="21"/>
          <w:szCs w:val="21"/>
        </w:rPr>
        <w:t>人</w:t>
      </w:r>
      <w:r>
        <w:rPr>
          <w:rFonts w:ascii="Times New Roman" w:hAnsi="Times New Roman" w:eastAsia="Times New Roman" w:cs="Times New Roman"/>
          <w:color w:val="auto"/>
          <w:spacing w:val="-13"/>
          <w:w w:val="99"/>
          <w:sz w:val="21"/>
          <w:szCs w:val="21"/>
        </w:rPr>
        <w:t>≤</w:t>
      </w:r>
      <w:r>
        <w:rPr>
          <w:rFonts w:ascii="Times New Roman" w:hAnsi="Times New Roman" w:eastAsia="仿宋" w:cs="Times New Roman"/>
          <w:color w:val="auto"/>
          <w:spacing w:val="-13"/>
          <w:w w:val="99"/>
          <w:sz w:val="21"/>
          <w:szCs w:val="21"/>
        </w:rPr>
        <w:t>从业人员＜</w:t>
      </w:r>
      <w:r>
        <w:rPr>
          <w:rFonts w:ascii="Times New Roman" w:hAnsi="Times New Roman" w:eastAsia="Times New Roman" w:cs="Times New Roman"/>
          <w:color w:val="auto"/>
          <w:spacing w:val="-13"/>
          <w:w w:val="99"/>
          <w:sz w:val="21"/>
          <w:szCs w:val="21"/>
        </w:rPr>
        <w:t>300</w:t>
      </w:r>
      <w:r>
        <w:rPr>
          <w:rFonts w:ascii="Times New Roman" w:hAnsi="Times New Roman" w:eastAsia="仿宋" w:cs="Times New Roman"/>
          <w:color w:val="auto"/>
          <w:spacing w:val="-13"/>
          <w:w w:val="99"/>
          <w:sz w:val="21"/>
          <w:szCs w:val="21"/>
        </w:rPr>
        <w:t>人，</w:t>
      </w:r>
      <w:r>
        <w:rPr>
          <w:rFonts w:ascii="Times New Roman" w:hAnsi="Times New Roman" w:eastAsia="Times New Roman" w:cs="Times New Roman"/>
          <w:color w:val="auto"/>
          <w:spacing w:val="-13"/>
          <w:w w:val="99"/>
          <w:sz w:val="21"/>
          <w:szCs w:val="21"/>
        </w:rPr>
        <w:t>300</w:t>
      </w:r>
      <w:r>
        <w:rPr>
          <w:rFonts w:ascii="Times New Roman" w:hAnsi="Times New Roman" w:eastAsia="仿宋" w:cs="Times New Roman"/>
          <w:color w:val="auto"/>
          <w:spacing w:val="-13"/>
          <w:w w:val="99"/>
          <w:sz w:val="21"/>
          <w:szCs w:val="21"/>
        </w:rPr>
        <w:t>万元</w:t>
      </w:r>
      <w:r>
        <w:rPr>
          <w:rFonts w:ascii="Times New Roman" w:hAnsi="Times New Roman" w:eastAsia="Times New Roman" w:cs="Times New Roman"/>
          <w:color w:val="auto"/>
          <w:spacing w:val="-13"/>
          <w:w w:val="99"/>
          <w:sz w:val="21"/>
          <w:szCs w:val="21"/>
        </w:rPr>
        <w:t>≤</w:t>
      </w:r>
      <w:r>
        <w:rPr>
          <w:rFonts w:ascii="Times New Roman" w:hAnsi="Times New Roman" w:eastAsia="仿宋" w:cs="Times New Roman"/>
          <w:color w:val="auto"/>
          <w:spacing w:val="-13"/>
          <w:w w:val="99"/>
          <w:sz w:val="21"/>
          <w:szCs w:val="21"/>
        </w:rPr>
        <w:t>营业收入＜</w:t>
      </w:r>
      <w:r>
        <w:rPr>
          <w:rFonts w:ascii="Times New Roman" w:hAnsi="Times New Roman" w:eastAsia="Times New Roman" w:cs="Times New Roman"/>
          <w:color w:val="auto"/>
          <w:spacing w:val="-13"/>
          <w:w w:val="99"/>
          <w:sz w:val="21"/>
          <w:szCs w:val="21"/>
        </w:rPr>
        <w:t>2000</w:t>
      </w:r>
      <w:r>
        <w:rPr>
          <w:rFonts w:ascii="Times New Roman" w:hAnsi="Times New Roman" w:eastAsia="仿宋" w:cs="Times New Roman"/>
          <w:color w:val="auto"/>
          <w:spacing w:val="-13"/>
          <w:w w:val="99"/>
          <w:sz w:val="21"/>
          <w:szCs w:val="21"/>
        </w:rPr>
        <w:t>万元）</w:t>
      </w:r>
      <w:r>
        <w:rPr>
          <w:rFonts w:hint="eastAsia" w:eastAsia="仿宋" w:cs="Times New Roman"/>
          <w:color w:val="auto"/>
          <w:spacing w:val="-13"/>
          <w:w w:val="99"/>
          <w:sz w:val="21"/>
          <w:szCs w:val="21"/>
          <w:lang w:val="en-US" w:eastAsia="zh-CN"/>
        </w:rPr>
        <w:t>;</w:t>
      </w:r>
      <w:r>
        <w:rPr>
          <w:rFonts w:ascii="Times New Roman" w:hAnsi="Times New Roman" w:eastAsia="仿宋" w:cs="Times New Roman"/>
          <w:color w:val="auto"/>
          <w:spacing w:val="-13"/>
          <w:w w:val="99"/>
          <w:sz w:val="21"/>
          <w:szCs w:val="21"/>
        </w:rPr>
        <w:t>微型（从业人员＜</w:t>
      </w:r>
      <w:r>
        <w:rPr>
          <w:rFonts w:ascii="Times New Roman" w:hAnsi="Times New Roman" w:eastAsia="Times New Roman" w:cs="Times New Roman"/>
          <w:color w:val="auto"/>
          <w:spacing w:val="-13"/>
          <w:w w:val="99"/>
          <w:sz w:val="21"/>
          <w:szCs w:val="21"/>
        </w:rPr>
        <w:t>20</w:t>
      </w:r>
      <w:r>
        <w:rPr>
          <w:rFonts w:ascii="Times New Roman" w:hAnsi="Times New Roman" w:eastAsia="仿宋" w:cs="Times New Roman"/>
          <w:color w:val="auto"/>
          <w:spacing w:val="-13"/>
          <w:w w:val="99"/>
          <w:sz w:val="21"/>
          <w:szCs w:val="21"/>
        </w:rPr>
        <w:t>人或</w:t>
      </w:r>
      <w:r>
        <w:rPr>
          <w:rFonts w:ascii="Times New Roman" w:hAnsi="Times New Roman" w:eastAsia="仿宋" w:cs="Times New Roman"/>
          <w:color w:val="auto"/>
          <w:spacing w:val="-20"/>
          <w:sz w:val="21"/>
          <w:szCs w:val="21"/>
        </w:rPr>
        <w:t>营业收入＜</w:t>
      </w:r>
      <w:r>
        <w:rPr>
          <w:rFonts w:ascii="Times New Roman" w:hAnsi="Times New Roman" w:eastAsia="Times New Roman" w:cs="Times New Roman"/>
          <w:color w:val="auto"/>
          <w:spacing w:val="-20"/>
          <w:sz w:val="21"/>
          <w:szCs w:val="21"/>
        </w:rPr>
        <w:t>300</w:t>
      </w:r>
      <w:r>
        <w:rPr>
          <w:rFonts w:ascii="Times New Roman" w:hAnsi="Times New Roman" w:eastAsia="仿宋" w:cs="Times New Roman"/>
          <w:color w:val="auto"/>
          <w:spacing w:val="-20"/>
          <w:sz w:val="21"/>
          <w:szCs w:val="21"/>
        </w:rPr>
        <w:t>万元）。</w:t>
      </w:r>
    </w:p>
    <w:p>
      <w:pPr>
        <w:keepNext w:val="0"/>
        <w:keepLines w:val="0"/>
        <w:pageBreakBefore w:val="0"/>
        <w:widowControl w:val="0"/>
        <w:kinsoku/>
        <w:wordWrap/>
        <w:overflowPunct/>
        <w:topLinePunct w:val="0"/>
        <w:autoSpaceDE/>
        <w:autoSpaceDN/>
        <w:bidi w:val="0"/>
        <w:adjustRightInd/>
        <w:snapToGrid/>
        <w:spacing w:line="480" w:lineRule="exact"/>
        <w:ind w:firstLine="473" w:firstLineChars="250"/>
        <w:jc w:val="both"/>
        <w:textAlignment w:val="auto"/>
        <w:rPr>
          <w:rFonts w:ascii="Times New Roman" w:hAnsi="Times New Roman" w:eastAsia="仿宋" w:cs="Times New Roman"/>
          <w:color w:val="auto"/>
          <w:sz w:val="21"/>
          <w:szCs w:val="21"/>
        </w:rPr>
      </w:pPr>
      <w:r>
        <w:rPr>
          <w:rFonts w:ascii="Times New Roman" w:hAnsi="Times New Roman" w:eastAsia="Times New Roman" w:cs="Times New Roman"/>
          <w:color w:val="auto"/>
          <w:spacing w:val="-2"/>
          <w:sz w:val="21"/>
          <w:szCs w:val="21"/>
        </w:rPr>
        <w:t>3</w:t>
      </w:r>
      <w:r>
        <w:rPr>
          <w:rFonts w:ascii="Times New Roman" w:hAnsi="Times New Roman" w:eastAsia="仿宋" w:cs="Times New Roman"/>
          <w:color w:val="auto"/>
          <w:spacing w:val="-2"/>
          <w:sz w:val="21"/>
          <w:szCs w:val="21"/>
        </w:rPr>
        <w:t>.经济类型按照以下分类填写</w:t>
      </w:r>
      <w:r>
        <w:rPr>
          <w:rFonts w:ascii="Times New Roman" w:hAnsi="Times New Roman" w:eastAsia="Times New Roman" w:cs="Times New Roman"/>
          <w:color w:val="auto"/>
          <w:spacing w:val="-2"/>
          <w:sz w:val="21"/>
          <w:szCs w:val="21"/>
        </w:rPr>
        <w:t>:</w:t>
      </w:r>
      <w:r>
        <w:rPr>
          <w:rFonts w:ascii="Times New Roman" w:hAnsi="Times New Roman" w:eastAsia="仿宋" w:cs="Times New Roman"/>
          <w:color w:val="auto"/>
          <w:sz w:val="21"/>
          <w:szCs w:val="21"/>
        </w:rPr>
        <w:t>国有</w:t>
      </w:r>
      <w:r>
        <w:rPr>
          <w:rFonts w:ascii="Times New Roman" w:hAnsi="Times New Roman" w:eastAsia="仿宋" w:cs="Times New Roman"/>
          <w:color w:val="auto"/>
          <w:spacing w:val="-2"/>
          <w:sz w:val="21"/>
          <w:szCs w:val="21"/>
        </w:rPr>
        <w:t>、</w:t>
      </w:r>
      <w:r>
        <w:rPr>
          <w:rFonts w:ascii="Times New Roman" w:hAnsi="Times New Roman" w:eastAsia="仿宋" w:cs="Times New Roman"/>
          <w:color w:val="auto"/>
          <w:sz w:val="21"/>
          <w:szCs w:val="21"/>
        </w:rPr>
        <w:t>集体</w:t>
      </w:r>
      <w:r>
        <w:rPr>
          <w:rFonts w:ascii="Times New Roman" w:hAnsi="Times New Roman" w:eastAsia="仿宋" w:cs="Times New Roman"/>
          <w:color w:val="auto"/>
          <w:spacing w:val="-2"/>
          <w:sz w:val="21"/>
          <w:szCs w:val="21"/>
        </w:rPr>
        <w:t>、私营、</w:t>
      </w:r>
      <w:r>
        <w:rPr>
          <w:rFonts w:ascii="Times New Roman" w:hAnsi="Times New Roman" w:eastAsia="仿宋" w:cs="Times New Roman"/>
          <w:color w:val="auto"/>
          <w:sz w:val="21"/>
          <w:szCs w:val="21"/>
        </w:rPr>
        <w:t>股份责任、港澳台商投资</w:t>
      </w:r>
      <w:r>
        <w:rPr>
          <w:rFonts w:ascii="Times New Roman" w:hAnsi="Times New Roman" w:eastAsia="仿宋" w:cs="Times New Roman"/>
          <w:color w:val="auto"/>
          <w:spacing w:val="-2"/>
          <w:sz w:val="21"/>
          <w:szCs w:val="21"/>
        </w:rPr>
        <w:t>、</w:t>
      </w:r>
      <w:r>
        <w:rPr>
          <w:rFonts w:ascii="Times New Roman" w:hAnsi="Times New Roman" w:eastAsia="仿宋" w:cs="Times New Roman"/>
          <w:color w:val="auto"/>
          <w:sz w:val="21"/>
          <w:szCs w:val="21"/>
        </w:rPr>
        <w:t>外商投资</w:t>
      </w:r>
      <w:r>
        <w:rPr>
          <w:rFonts w:ascii="Times New Roman" w:hAnsi="Times New Roman" w:eastAsia="仿宋" w:cs="Times New Roman"/>
          <w:color w:val="auto"/>
          <w:spacing w:val="-2"/>
          <w:sz w:val="21"/>
          <w:szCs w:val="21"/>
        </w:rPr>
        <w:t>、其他。</w:t>
      </w:r>
    </w:p>
    <w:p>
      <w:pPr>
        <w:keepNext w:val="0"/>
        <w:keepLines w:val="0"/>
        <w:pageBreakBefore w:val="0"/>
        <w:widowControl w:val="0"/>
        <w:kinsoku/>
        <w:wordWrap/>
        <w:overflowPunct/>
        <w:topLinePunct w:val="0"/>
        <w:autoSpaceDE/>
        <w:autoSpaceDN/>
        <w:bidi w:val="0"/>
        <w:adjustRightInd/>
        <w:snapToGrid/>
        <w:spacing w:line="480" w:lineRule="exact"/>
        <w:ind w:firstLine="463" w:firstLineChars="250"/>
        <w:jc w:val="both"/>
        <w:textAlignment w:val="auto"/>
        <w:rPr>
          <w:rFonts w:ascii="Times New Roman" w:hAnsi="Times New Roman" w:eastAsia="仿宋" w:cs="Times New Roman"/>
          <w:color w:val="auto"/>
          <w:spacing w:val="-4"/>
          <w:sz w:val="21"/>
          <w:szCs w:val="21"/>
        </w:rPr>
      </w:pPr>
      <w:r>
        <w:rPr>
          <w:rFonts w:ascii="Times New Roman" w:hAnsi="Times New Roman" w:eastAsia="仿宋" w:cs="Times New Roman"/>
          <w:color w:val="auto"/>
          <w:spacing w:val="-4"/>
          <w:sz w:val="21"/>
          <w:szCs w:val="21"/>
        </w:rPr>
        <w:t>4.此表于</w:t>
      </w:r>
      <w:r>
        <w:rPr>
          <w:rFonts w:ascii="Times New Roman" w:hAnsi="Times New Roman" w:eastAsia="Times New Roman" w:cs="Times New Roman"/>
          <w:color w:val="auto"/>
          <w:spacing w:val="-4"/>
          <w:sz w:val="21"/>
          <w:szCs w:val="21"/>
        </w:rPr>
        <w:t>2022</w:t>
      </w:r>
      <w:r>
        <w:rPr>
          <w:rFonts w:ascii="Times New Roman" w:hAnsi="Times New Roman" w:eastAsia="仿宋" w:cs="Times New Roman"/>
          <w:color w:val="auto"/>
          <w:spacing w:val="-4"/>
          <w:sz w:val="21"/>
          <w:szCs w:val="21"/>
        </w:rPr>
        <w:t>年</w:t>
      </w:r>
      <w:r>
        <w:rPr>
          <w:rFonts w:ascii="Times New Roman" w:hAnsi="Times New Roman" w:eastAsia="宋体" w:cs="Times New Roman"/>
          <w:color w:val="auto"/>
          <w:spacing w:val="-4"/>
          <w:sz w:val="21"/>
          <w:szCs w:val="21"/>
        </w:rPr>
        <w:t>7</w:t>
      </w:r>
      <w:r>
        <w:rPr>
          <w:rFonts w:ascii="Times New Roman" w:hAnsi="Times New Roman" w:eastAsia="仿宋" w:cs="Times New Roman"/>
          <w:color w:val="auto"/>
          <w:spacing w:val="-4"/>
          <w:sz w:val="21"/>
          <w:szCs w:val="21"/>
        </w:rPr>
        <w:t>月1</w:t>
      </w:r>
      <w:r>
        <w:rPr>
          <w:rFonts w:hint="eastAsia" w:eastAsia="仿宋" w:cs="Times New Roman"/>
          <w:color w:val="auto"/>
          <w:spacing w:val="-4"/>
          <w:sz w:val="21"/>
          <w:szCs w:val="21"/>
          <w:lang w:val="en-US" w:eastAsia="zh-CN"/>
        </w:rPr>
        <w:t>0</w:t>
      </w:r>
      <w:r>
        <w:rPr>
          <w:rFonts w:ascii="Times New Roman" w:hAnsi="Times New Roman" w:eastAsia="仿宋" w:cs="Times New Roman"/>
          <w:color w:val="auto"/>
          <w:spacing w:val="-4"/>
          <w:sz w:val="21"/>
          <w:szCs w:val="21"/>
        </w:rPr>
        <w:t>日前报送</w:t>
      </w:r>
      <w:r>
        <w:rPr>
          <w:rFonts w:hint="eastAsia" w:eastAsia="仿宋" w:cs="Times New Roman"/>
          <w:color w:val="auto"/>
          <w:spacing w:val="-4"/>
          <w:sz w:val="21"/>
          <w:szCs w:val="21"/>
          <w:lang w:eastAsia="zh-CN"/>
        </w:rPr>
        <w:t>至区卫生健康委疾控室</w:t>
      </w:r>
      <w:r>
        <w:rPr>
          <w:rFonts w:ascii="Times New Roman" w:hAnsi="Times New Roman" w:eastAsia="仿宋" w:cs="Times New Roman"/>
          <w:color w:val="auto"/>
          <w:spacing w:val="-4"/>
          <w:sz w:val="21"/>
          <w:szCs w:val="21"/>
        </w:rPr>
        <w:t>。</w:t>
      </w:r>
    </w:p>
    <w:p>
      <w:pPr>
        <w:spacing w:line="560" w:lineRule="exact"/>
        <w:jc w:val="left"/>
        <w:rPr>
          <w:rFonts w:ascii="Times New Roman" w:hAnsi="Times New Roman" w:eastAsia="黑体" w:cs="Times New Roman"/>
          <w:color w:val="auto"/>
          <w:spacing w:val="-11"/>
          <w:sz w:val="32"/>
          <w:szCs w:val="32"/>
        </w:rPr>
      </w:pPr>
    </w:p>
    <w:p>
      <w:pPr>
        <w:spacing w:line="560" w:lineRule="exact"/>
        <w:jc w:val="left"/>
        <w:rPr>
          <w:rFonts w:hint="eastAsia" w:eastAsia="黑体" w:cs="Times New Roman"/>
          <w:color w:val="auto"/>
          <w:spacing w:val="-11"/>
          <w:sz w:val="32"/>
          <w:szCs w:val="32"/>
          <w:lang w:val="en-US" w:eastAsia="zh-CN"/>
        </w:rPr>
      </w:pPr>
      <w:r>
        <w:rPr>
          <w:rFonts w:ascii="Times New Roman" w:hAnsi="Times New Roman" w:eastAsia="黑体" w:cs="Times New Roman"/>
          <w:color w:val="auto"/>
          <w:spacing w:val="-11"/>
          <w:sz w:val="32"/>
          <w:szCs w:val="32"/>
        </w:rPr>
        <w:t>附件</w:t>
      </w:r>
      <w:r>
        <w:rPr>
          <w:rFonts w:hint="eastAsia" w:eastAsia="黑体" w:cs="Times New Roman"/>
          <w:color w:val="auto"/>
          <w:spacing w:val="-11"/>
          <w:sz w:val="32"/>
          <w:szCs w:val="32"/>
          <w:lang w:val="en-US" w:eastAsia="zh-CN"/>
        </w:rPr>
        <w:t>2</w:t>
      </w:r>
    </w:p>
    <w:p>
      <w:pPr>
        <w:spacing w:line="560" w:lineRule="exact"/>
        <w:jc w:val="center"/>
        <w:rPr>
          <w:rFonts w:hint="eastAsia" w:ascii="Times New Roman" w:hAnsi="Times New Roman" w:eastAsia="方正小标宋简体" w:cs="Times New Roman"/>
          <w:spacing w:val="-1"/>
          <w:kern w:val="2"/>
          <w:sz w:val="36"/>
          <w:szCs w:val="36"/>
          <w:lang w:val="en-US" w:eastAsia="zh-CN" w:bidi="ar-SA"/>
        </w:rPr>
      </w:pPr>
      <w:r>
        <w:rPr>
          <w:rFonts w:hint="default" w:ascii="Times New Roman" w:hAnsi="Times New Roman" w:eastAsia="方正小标宋简体" w:cs="Times New Roman"/>
          <w:spacing w:val="-1"/>
          <w:kern w:val="2"/>
          <w:sz w:val="36"/>
          <w:szCs w:val="36"/>
          <w:lang w:val="en-US" w:eastAsia="zh-CN" w:bidi="ar-SA"/>
        </w:rPr>
        <w:t>_____</w:t>
      </w:r>
      <w:r>
        <w:rPr>
          <w:rFonts w:hint="eastAsia" w:ascii="Times New Roman" w:hAnsi="Times New Roman" w:eastAsia="方正小标宋简体" w:cs="Times New Roman"/>
          <w:spacing w:val="-1"/>
          <w:kern w:val="2"/>
          <w:sz w:val="36"/>
          <w:szCs w:val="36"/>
          <w:lang w:val="en-US" w:eastAsia="zh-CN" w:bidi="ar-SA"/>
        </w:rPr>
        <w:t>年度专项治理总结报告</w:t>
      </w:r>
    </w:p>
    <w:p>
      <w:pPr>
        <w:pStyle w:val="4"/>
        <w:spacing w:line="560" w:lineRule="exact"/>
        <w:ind w:left="-948" w:leftChars="-499" w:hanging="15" w:hangingChars="6"/>
        <w:rPr>
          <w:rFonts w:ascii="Times New Roman" w:hAnsi="Times New Roman"/>
        </w:rPr>
      </w:pPr>
      <w:r>
        <w:rPr>
          <w:rFonts w:hint="eastAsia" w:ascii="方正仿宋_GBK" w:eastAsia="方正仿宋_GBK"/>
          <w:sz w:val="28"/>
          <w:szCs w:val="28"/>
        </w:rPr>
        <w:t>报送单位（盖章）：</w:t>
      </w:r>
      <w:r>
        <w:rPr>
          <w:rFonts w:hint="eastAsia" w:ascii="方正仿宋_GBK" w:eastAsia="方正仿宋_GBK"/>
          <w:sz w:val="28"/>
          <w:szCs w:val="28"/>
          <w:lang w:val="en-US" w:eastAsia="zh-CN"/>
        </w:rPr>
        <w:t xml:space="preserve">                             </w:t>
      </w:r>
      <w:r>
        <w:rPr>
          <w:rFonts w:hint="eastAsia" w:ascii="方正仿宋_GBK" w:eastAsia="方正仿宋_GBK"/>
          <w:sz w:val="28"/>
          <w:szCs w:val="28"/>
        </w:rPr>
        <w:t>报送人：</w:t>
      </w:r>
      <w:r>
        <w:rPr>
          <w:rFonts w:hint="eastAsia" w:ascii="方正仿宋_GBK" w:eastAsia="方正仿宋_GBK"/>
          <w:sz w:val="28"/>
          <w:szCs w:val="28"/>
          <w:lang w:val="en-US" w:eastAsia="zh-CN"/>
        </w:rPr>
        <w:t xml:space="preserve">                       </w:t>
      </w:r>
      <w:r>
        <w:rPr>
          <w:rFonts w:hint="eastAsia" w:ascii="方正仿宋_GBK" w:eastAsia="方正仿宋_GBK"/>
          <w:sz w:val="28"/>
          <w:szCs w:val="28"/>
        </w:rPr>
        <w:t>报送</w:t>
      </w:r>
      <w:r>
        <w:rPr>
          <w:rFonts w:hint="eastAsia" w:ascii="方正仿宋_GBK" w:eastAsia="方正仿宋_GBK"/>
          <w:sz w:val="28"/>
          <w:szCs w:val="28"/>
          <w:lang w:eastAsia="zh-CN"/>
        </w:rPr>
        <w:t>日期</w:t>
      </w:r>
      <w:r>
        <w:rPr>
          <w:rFonts w:hint="eastAsia" w:ascii="方正仿宋_GBK" w:eastAsia="方正仿宋_GBK"/>
          <w:sz w:val="28"/>
          <w:szCs w:val="28"/>
        </w:rPr>
        <w:t>：</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 xml:space="preserve"> </w:t>
      </w:r>
      <w:r>
        <w:rPr>
          <w:rFonts w:hint="eastAsia" w:ascii="Times New Roman" w:hAnsi="Times New Roman" w:eastAsia="仿宋"/>
          <w:spacing w:val="-27"/>
          <w:w w:val="98"/>
          <w:sz w:val="28"/>
          <w:szCs w:val="28"/>
          <w:lang w:val="en-US" w:eastAsia="zh-CN"/>
        </w:rPr>
        <w:t xml:space="preserve"> </w:t>
      </w:r>
      <w:r>
        <w:rPr>
          <w:rFonts w:ascii="Times New Roman" w:hAnsi="Times New Roman" w:eastAsia="仿宋"/>
          <w:spacing w:val="-27"/>
          <w:w w:val="98"/>
          <w:sz w:val="28"/>
          <w:szCs w:val="28"/>
        </w:rPr>
        <w:t xml:space="preserve">年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 xml:space="preserve">月 </w:t>
      </w:r>
      <w:r>
        <w:rPr>
          <w:rFonts w:hint="eastAsia" w:ascii="Times New Roman" w:hAnsi="Times New Roman" w:eastAsia="仿宋"/>
          <w:spacing w:val="-27"/>
          <w:w w:val="98"/>
          <w:sz w:val="28"/>
          <w:szCs w:val="28"/>
        </w:rPr>
        <w:t xml:space="preserve">      </w:t>
      </w:r>
      <w:r>
        <w:rPr>
          <w:rFonts w:ascii="Times New Roman" w:hAnsi="Times New Roman" w:eastAsia="仿宋"/>
          <w:spacing w:val="-27"/>
          <w:w w:val="98"/>
          <w:sz w:val="28"/>
          <w:szCs w:val="28"/>
        </w:rPr>
        <w:t>日</w:t>
      </w:r>
    </w:p>
    <w:tbl>
      <w:tblPr>
        <w:tblStyle w:val="9"/>
        <w:tblpPr w:leftFromText="180" w:rightFromText="180" w:vertAnchor="text" w:horzAnchor="page" w:tblpX="988" w:tblpY="55"/>
        <w:tblOverlap w:val="never"/>
        <w:tblW w:w="15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900"/>
        <w:gridCol w:w="930"/>
        <w:gridCol w:w="1110"/>
        <w:gridCol w:w="915"/>
        <w:gridCol w:w="825"/>
        <w:gridCol w:w="810"/>
        <w:gridCol w:w="810"/>
        <w:gridCol w:w="1110"/>
        <w:gridCol w:w="810"/>
        <w:gridCol w:w="795"/>
        <w:gridCol w:w="795"/>
        <w:gridCol w:w="780"/>
        <w:gridCol w:w="795"/>
        <w:gridCol w:w="116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00"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ascii="方正仿宋_GBK" w:eastAsia="方正仿宋_GBK"/>
                <w:sz w:val="24"/>
              </w:rPr>
            </w:pPr>
          </w:p>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仿宋_GBK" w:eastAsia="方正仿宋_GBK"/>
                <w:sz w:val="24"/>
              </w:rPr>
            </w:pPr>
            <w:r>
              <w:rPr>
                <w:rFonts w:hint="eastAsia" w:ascii="方正仿宋_GBK" w:eastAsia="方正仿宋_GBK"/>
                <w:sz w:val="24"/>
              </w:rPr>
              <w:t>当年纳入</w:t>
            </w:r>
          </w:p>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仿宋_GBK" w:eastAsia="方正仿宋_GBK"/>
                <w:sz w:val="24"/>
              </w:rPr>
            </w:pPr>
            <w:r>
              <w:rPr>
                <w:rFonts w:hint="eastAsia" w:ascii="方正仿宋_GBK" w:eastAsia="方正仿宋_GBK"/>
                <w:sz w:val="24"/>
              </w:rPr>
              <w:t>治理企业</w:t>
            </w:r>
          </w:p>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ascii="方正仿宋_GBK" w:eastAsia="方正仿宋_GBK"/>
                <w:sz w:val="24"/>
              </w:rPr>
            </w:pPr>
            <w:r>
              <w:rPr>
                <w:rFonts w:hint="eastAsia" w:ascii="方正仿宋_GBK" w:eastAsia="方正仿宋_GBK"/>
                <w:sz w:val="24"/>
                <w:lang w:eastAsia="zh-CN"/>
              </w:rPr>
              <w:t>（</w:t>
            </w:r>
            <w:r>
              <w:rPr>
                <w:rFonts w:hint="eastAsia" w:ascii="方正仿宋_GBK" w:eastAsia="方正仿宋_GBK"/>
                <w:sz w:val="24"/>
              </w:rPr>
              <w:t>家</w:t>
            </w:r>
            <w:r>
              <w:rPr>
                <w:rFonts w:hint="eastAsia" w:ascii="方正仿宋_GBK" w:eastAsia="方正仿宋_GBK"/>
                <w:sz w:val="24"/>
                <w:lang w:eastAsia="zh-CN"/>
              </w:rPr>
              <w:t>）</w:t>
            </w:r>
          </w:p>
        </w:tc>
        <w:tc>
          <w:tcPr>
            <w:tcW w:w="3855" w:type="dxa"/>
            <w:gridSpan w:val="4"/>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335" w:firstLineChars="150"/>
              <w:jc w:val="center"/>
              <w:textAlignment w:val="auto"/>
              <w:rPr>
                <w:rFonts w:ascii="方正仿宋_GBK" w:eastAsia="方正仿宋_GBK"/>
                <w:sz w:val="24"/>
              </w:rPr>
            </w:pPr>
            <w:r>
              <w:rPr>
                <w:rFonts w:hint="eastAsia" w:ascii="方正仿宋_GBK" w:eastAsia="方正仿宋_GBK"/>
                <w:sz w:val="24"/>
              </w:rPr>
              <w:t>当年完成治理的企业家数</w:t>
            </w:r>
          </w:p>
        </w:tc>
        <w:tc>
          <w:tcPr>
            <w:tcW w:w="825"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ascii="方正仿宋_GBK" w:eastAsia="方正仿宋_GBK"/>
                <w:sz w:val="24"/>
              </w:rPr>
            </w:pPr>
            <w:r>
              <w:rPr>
                <w:rFonts w:hint="eastAsia" w:ascii="方正仿宋_GBK" w:eastAsia="方正仿宋_GBK"/>
                <w:sz w:val="24"/>
              </w:rPr>
              <w:t>当年未完成治理的企业</w:t>
            </w:r>
            <w:r>
              <w:rPr>
                <w:rFonts w:hint="eastAsia" w:ascii="方正仿宋_GBK" w:eastAsia="方正仿宋_GBK"/>
                <w:sz w:val="24"/>
                <w:lang w:eastAsia="zh-CN"/>
              </w:rPr>
              <w:t>（</w:t>
            </w:r>
            <w:r>
              <w:rPr>
                <w:rFonts w:hint="eastAsia" w:ascii="方正仿宋_GBK" w:eastAsia="方正仿宋_GBK"/>
                <w:sz w:val="24"/>
              </w:rPr>
              <w:t>家</w:t>
            </w:r>
            <w:r>
              <w:rPr>
                <w:rFonts w:hint="eastAsia" w:ascii="方正仿宋_GBK" w:eastAsia="方正仿宋_GBK"/>
                <w:sz w:val="24"/>
                <w:lang w:eastAsia="zh-CN"/>
              </w:rPr>
              <w:t>）</w:t>
            </w:r>
          </w:p>
        </w:tc>
        <w:tc>
          <w:tcPr>
            <w:tcW w:w="810"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ascii="方正仿宋_GBK" w:eastAsia="方正仿宋_GBK"/>
                <w:sz w:val="24"/>
              </w:rPr>
            </w:pPr>
            <w:r>
              <w:rPr>
                <w:rFonts w:hint="eastAsia" w:ascii="方正仿宋_GBK" w:eastAsia="方正仿宋_GBK"/>
                <w:sz w:val="24"/>
              </w:rPr>
              <w:t>当年监督检查治理企业</w:t>
            </w:r>
            <w:r>
              <w:rPr>
                <w:rFonts w:hint="eastAsia" w:ascii="方正仿宋_GBK" w:eastAsia="方正仿宋_GBK"/>
                <w:sz w:val="24"/>
                <w:lang w:eastAsia="zh-CN"/>
              </w:rPr>
              <w:t>（</w:t>
            </w:r>
            <w:r>
              <w:rPr>
                <w:rFonts w:hint="eastAsia" w:ascii="方正仿宋_GBK" w:eastAsia="方正仿宋_GBK"/>
                <w:sz w:val="24"/>
              </w:rPr>
              <w:t>家</w:t>
            </w:r>
            <w:r>
              <w:rPr>
                <w:rFonts w:hint="eastAsia" w:ascii="方正仿宋_GBK" w:eastAsia="方正仿宋_GBK"/>
                <w:sz w:val="24"/>
                <w:lang w:eastAsia="zh-CN"/>
              </w:rPr>
              <w:t>）</w:t>
            </w:r>
          </w:p>
        </w:tc>
        <w:tc>
          <w:tcPr>
            <w:tcW w:w="810"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仿宋_GBK" w:eastAsia="方正仿宋_GBK"/>
                <w:sz w:val="24"/>
                <w:lang w:eastAsia="zh-CN"/>
              </w:rPr>
            </w:pPr>
            <w:r>
              <w:rPr>
                <w:rFonts w:hint="eastAsia" w:ascii="方正仿宋_GBK" w:eastAsia="方正仿宋_GBK"/>
                <w:sz w:val="24"/>
                <w:lang w:eastAsia="zh-CN"/>
              </w:rPr>
              <w:t>当年行政处罚情况（家）（元）</w:t>
            </w:r>
          </w:p>
        </w:tc>
        <w:tc>
          <w:tcPr>
            <w:tcW w:w="1110"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ascii="方正仿宋_GBK" w:eastAsia="方正仿宋_GBK"/>
                <w:sz w:val="24"/>
              </w:rPr>
            </w:pPr>
            <w:r>
              <w:rPr>
                <w:rFonts w:hint="eastAsia" w:ascii="方正仿宋_GBK" w:eastAsia="方正仿宋_GBK"/>
                <w:sz w:val="24"/>
              </w:rPr>
              <w:t>当年培训治理企业负责人和职业卫生管理人员</w:t>
            </w:r>
            <w:r>
              <w:rPr>
                <w:rFonts w:hint="eastAsia" w:ascii="方正仿宋_GBK" w:eastAsia="方正仿宋_GBK"/>
                <w:sz w:val="24"/>
                <w:lang w:eastAsia="zh-CN"/>
              </w:rPr>
              <w:t>（</w:t>
            </w:r>
            <w:r>
              <w:rPr>
                <w:rFonts w:hint="eastAsia" w:ascii="方正仿宋_GBK" w:eastAsia="方正仿宋_GBK"/>
                <w:sz w:val="24"/>
              </w:rPr>
              <w:t>家</w:t>
            </w:r>
            <w:r>
              <w:rPr>
                <w:rFonts w:hint="eastAsia" w:ascii="方正仿宋_GBK" w:eastAsia="方正仿宋_GBK"/>
                <w:sz w:val="24"/>
                <w:lang w:eastAsia="zh-CN"/>
              </w:rPr>
              <w:t>）</w:t>
            </w:r>
          </w:p>
        </w:tc>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Calibri" w:eastAsia="方正仿宋_GBK" w:cs="Times New Roman"/>
                <w:sz w:val="24"/>
              </w:rPr>
            </w:pPr>
            <w:r>
              <w:rPr>
                <w:rFonts w:hint="eastAsia" w:ascii="方正仿宋_GBK" w:hAnsi="Calibri" w:eastAsia="方正仿宋_GBK" w:cs="Times New Roman"/>
                <w:sz w:val="24"/>
              </w:rPr>
              <w:t>当年关停治理企业</w:t>
            </w:r>
            <w:r>
              <w:rPr>
                <w:rFonts w:hint="eastAsia" w:ascii="方正仿宋_GBK" w:hAnsi="Calibri" w:eastAsia="方正仿宋_GBK" w:cs="Times New Roman"/>
                <w:sz w:val="24"/>
                <w:lang w:eastAsia="zh-CN"/>
              </w:rPr>
              <w:t>（</w:t>
            </w:r>
            <w:r>
              <w:rPr>
                <w:rFonts w:hint="eastAsia" w:ascii="方正仿宋_GBK" w:hAnsi="Calibri" w:eastAsia="方正仿宋_GBK" w:cs="Times New Roman"/>
                <w:sz w:val="24"/>
              </w:rPr>
              <w:t>家</w:t>
            </w:r>
            <w:r>
              <w:rPr>
                <w:rFonts w:hint="eastAsia" w:ascii="方正仿宋_GBK" w:hAnsi="Calibri" w:eastAsia="方正仿宋_GBK" w:cs="Times New Roman"/>
                <w:sz w:val="24"/>
                <w:lang w:eastAsia="zh-CN"/>
              </w:rPr>
              <w:t>）</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hAnsi="Calibri" w:eastAsia="方正仿宋_GBK" w:cs="Times New Roman"/>
                <w:sz w:val="24"/>
              </w:rPr>
            </w:pPr>
            <w:r>
              <w:rPr>
                <w:rFonts w:hint="eastAsia" w:ascii="方正仿宋_GBK" w:eastAsia="方正仿宋_GBK"/>
                <w:sz w:val="24"/>
              </w:rPr>
              <w:t>累计完成治理企业</w:t>
            </w:r>
            <w:r>
              <w:rPr>
                <w:rFonts w:hint="eastAsia" w:ascii="方正仿宋_GBK" w:eastAsia="方正仿宋_GBK"/>
                <w:sz w:val="24"/>
                <w:lang w:eastAsia="zh-CN"/>
              </w:rPr>
              <w:t>（</w:t>
            </w:r>
            <w:r>
              <w:rPr>
                <w:rFonts w:hint="eastAsia" w:ascii="方正仿宋_GBK" w:eastAsia="方正仿宋_GBK"/>
                <w:sz w:val="24"/>
              </w:rPr>
              <w:t>家</w:t>
            </w:r>
            <w:r>
              <w:rPr>
                <w:rFonts w:hint="eastAsia" w:ascii="方正仿宋_GBK" w:eastAsia="方正仿宋_GBK"/>
                <w:sz w:val="24"/>
                <w:lang w:eastAsia="zh-CN"/>
              </w:rPr>
              <w:t>）</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rPr>
            </w:pPr>
            <w:r>
              <w:rPr>
                <w:rFonts w:hint="eastAsia" w:ascii="方正仿宋_GBK" w:eastAsia="方正仿宋_GBK"/>
                <w:sz w:val="24"/>
              </w:rPr>
              <w:t>累计未完成治理的企业</w:t>
            </w:r>
            <w:r>
              <w:rPr>
                <w:rFonts w:hint="eastAsia" w:ascii="方正仿宋_GBK" w:eastAsia="方正仿宋_GBK"/>
                <w:sz w:val="24"/>
                <w:lang w:eastAsia="zh-CN"/>
              </w:rPr>
              <w:t>（</w:t>
            </w:r>
            <w:r>
              <w:rPr>
                <w:rFonts w:hint="eastAsia" w:ascii="方正仿宋_GBK" w:eastAsia="方正仿宋_GBK"/>
                <w:sz w:val="24"/>
              </w:rPr>
              <w:t>家</w:t>
            </w:r>
            <w:r>
              <w:rPr>
                <w:rFonts w:hint="eastAsia" w:ascii="方正仿宋_GBK" w:eastAsia="方正仿宋_GBK"/>
                <w:sz w:val="24"/>
                <w:lang w:eastAsia="zh-CN"/>
              </w:rPr>
              <w:t>）</w:t>
            </w:r>
          </w:p>
        </w:tc>
        <w:tc>
          <w:tcPr>
            <w:tcW w:w="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仿宋_GBK" w:eastAsia="方正仿宋_GBK"/>
                <w:sz w:val="24"/>
              </w:rPr>
            </w:pPr>
            <w:r>
              <w:rPr>
                <w:rFonts w:hint="eastAsia" w:ascii="方正仿宋_GBK" w:eastAsia="方正仿宋_GBK"/>
                <w:sz w:val="24"/>
              </w:rPr>
              <w:t>累计监督检查治理企业</w:t>
            </w:r>
            <w:r>
              <w:rPr>
                <w:rFonts w:hint="eastAsia" w:ascii="方正仿宋_GBK" w:eastAsia="方正仿宋_GBK"/>
                <w:sz w:val="24"/>
                <w:lang w:eastAsia="zh-CN"/>
              </w:rPr>
              <w:t>（</w:t>
            </w:r>
            <w:r>
              <w:rPr>
                <w:rFonts w:hint="eastAsia" w:ascii="方正仿宋_GBK" w:eastAsia="方正仿宋_GBK"/>
                <w:sz w:val="24"/>
              </w:rPr>
              <w:t>家</w:t>
            </w:r>
            <w:r>
              <w:rPr>
                <w:rFonts w:hint="eastAsia" w:ascii="方正仿宋_GBK" w:eastAsia="方正仿宋_GBK"/>
                <w:sz w:val="24"/>
                <w:lang w:eastAsia="zh-CN"/>
              </w:rPr>
              <w:t>）</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sz w:val="24"/>
                <w:lang w:eastAsia="zh-CN"/>
              </w:rPr>
            </w:pPr>
            <w:r>
              <w:rPr>
                <w:rFonts w:hint="eastAsia" w:ascii="方正仿宋_GBK" w:eastAsia="方正仿宋_GBK"/>
                <w:sz w:val="24"/>
                <w:lang w:eastAsia="zh-CN"/>
              </w:rPr>
              <w:t>累计行政处罚情况（家）（元）</w:t>
            </w:r>
          </w:p>
        </w:tc>
        <w:tc>
          <w:tcPr>
            <w:tcW w:w="11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sz w:val="24"/>
                <w:lang w:eastAsia="zh-CN"/>
              </w:rPr>
            </w:pPr>
            <w:r>
              <w:rPr>
                <w:rFonts w:hint="eastAsia" w:ascii="方正仿宋_GBK" w:eastAsia="方正仿宋_GBK"/>
                <w:sz w:val="24"/>
              </w:rPr>
              <w:t>累计培训治理企业负责人和职业卫生管理人员</w:t>
            </w:r>
            <w:r>
              <w:rPr>
                <w:rFonts w:hint="eastAsia" w:ascii="方正仿宋_GBK" w:eastAsia="方正仿宋_GBK"/>
                <w:sz w:val="24"/>
                <w:lang w:eastAsia="zh-CN"/>
              </w:rPr>
              <w:t>（家）</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eastAsia="方正仿宋_GBK"/>
                <w:sz w:val="24"/>
                <w:lang w:eastAsia="zh-CN"/>
              </w:rPr>
            </w:pPr>
            <w:r>
              <w:rPr>
                <w:rFonts w:hint="eastAsia" w:ascii="方正仿宋_GBK" w:eastAsia="方正仿宋_GBK"/>
                <w:sz w:val="24"/>
              </w:rPr>
              <w:t>累计关停治理企业</w:t>
            </w:r>
            <w:r>
              <w:rPr>
                <w:rFonts w:hint="eastAsia" w:ascii="方正仿宋_GBK" w:eastAsia="方正仿宋_GBK"/>
                <w:sz w:val="24"/>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00" w:type="dxa"/>
            <w:vMerge w:val="continue"/>
            <w:noWrap w:val="0"/>
            <w:vAlign w:val="center"/>
          </w:tcPr>
          <w:p>
            <w:pPr>
              <w:pStyle w:val="4"/>
              <w:spacing w:line="300" w:lineRule="exact"/>
              <w:ind w:firstLine="0" w:firstLineChars="0"/>
              <w:jc w:val="center"/>
              <w:rPr>
                <w:rFonts w:ascii="方正仿宋_GBK" w:eastAsia="方正仿宋_GBK"/>
                <w:sz w:val="24"/>
              </w:rPr>
            </w:pPr>
          </w:p>
        </w:tc>
        <w:tc>
          <w:tcPr>
            <w:tcW w:w="900"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ascii="方正仿宋_GBK" w:eastAsia="方正仿宋_GBK"/>
                <w:sz w:val="24"/>
              </w:rPr>
            </w:pPr>
            <w:r>
              <w:rPr>
                <w:rFonts w:hint="eastAsia" w:ascii="方正仿宋_GBK" w:eastAsia="方正仿宋_GBK"/>
                <w:sz w:val="24"/>
              </w:rPr>
              <w:t>治理后不超标的企业</w:t>
            </w:r>
            <w:r>
              <w:rPr>
                <w:rFonts w:hint="eastAsia" w:ascii="方正仿宋_GBK" w:eastAsia="方正仿宋_GBK"/>
                <w:sz w:val="24"/>
                <w:lang w:eastAsia="zh-CN"/>
              </w:rPr>
              <w:t>（</w:t>
            </w:r>
            <w:r>
              <w:rPr>
                <w:rFonts w:hint="eastAsia" w:ascii="方正仿宋_GBK" w:eastAsia="方正仿宋_GBK"/>
                <w:sz w:val="24"/>
              </w:rPr>
              <w:t>家</w:t>
            </w:r>
            <w:r>
              <w:rPr>
                <w:rFonts w:hint="eastAsia" w:ascii="方正仿宋_GBK" w:eastAsia="方正仿宋_GBK"/>
                <w:sz w:val="24"/>
                <w:lang w:eastAsia="zh-CN"/>
              </w:rPr>
              <w:t>）</w:t>
            </w:r>
          </w:p>
        </w:tc>
        <w:tc>
          <w:tcPr>
            <w:tcW w:w="2955" w:type="dxa"/>
            <w:gridSpan w:val="3"/>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558" w:firstLineChars="250"/>
              <w:jc w:val="both"/>
              <w:textAlignment w:val="auto"/>
              <w:rPr>
                <w:rFonts w:ascii="方正仿宋_GBK" w:eastAsia="方正仿宋_GBK"/>
                <w:sz w:val="24"/>
              </w:rPr>
            </w:pPr>
            <w:r>
              <w:rPr>
                <w:rFonts w:hint="eastAsia" w:ascii="方正仿宋_GBK" w:eastAsia="方正仿宋_GBK"/>
                <w:sz w:val="24"/>
              </w:rPr>
              <w:t>治理后超标的企业</w:t>
            </w:r>
          </w:p>
        </w:tc>
        <w:tc>
          <w:tcPr>
            <w:tcW w:w="825" w:type="dxa"/>
            <w:vMerge w:val="continue"/>
            <w:noWrap w:val="0"/>
            <w:vAlign w:val="top"/>
          </w:tcPr>
          <w:p>
            <w:pPr>
              <w:pStyle w:val="4"/>
              <w:spacing w:line="300" w:lineRule="exact"/>
              <w:ind w:firstLine="0" w:firstLineChars="0"/>
              <w:rPr>
                <w:rFonts w:ascii="方正仿宋_GBK" w:eastAsia="方正仿宋_GBK"/>
                <w:sz w:val="24"/>
              </w:rPr>
            </w:pPr>
          </w:p>
        </w:tc>
        <w:tc>
          <w:tcPr>
            <w:tcW w:w="810" w:type="dxa"/>
            <w:vMerge w:val="continue"/>
            <w:noWrap w:val="0"/>
            <w:vAlign w:val="top"/>
          </w:tcPr>
          <w:p>
            <w:pPr>
              <w:pStyle w:val="4"/>
              <w:spacing w:line="300" w:lineRule="exact"/>
              <w:ind w:firstLine="0" w:firstLineChars="0"/>
              <w:rPr>
                <w:rFonts w:ascii="方正仿宋_GBK" w:eastAsia="方正仿宋_GBK"/>
                <w:sz w:val="24"/>
              </w:rPr>
            </w:pPr>
          </w:p>
        </w:tc>
        <w:tc>
          <w:tcPr>
            <w:tcW w:w="810" w:type="dxa"/>
            <w:vMerge w:val="continue"/>
            <w:noWrap w:val="0"/>
            <w:vAlign w:val="top"/>
          </w:tcPr>
          <w:p>
            <w:pPr>
              <w:pStyle w:val="4"/>
              <w:spacing w:line="300" w:lineRule="exact"/>
              <w:ind w:firstLine="0" w:firstLineChars="0"/>
              <w:rPr>
                <w:rFonts w:ascii="方正仿宋_GBK" w:eastAsia="方正仿宋_GBK"/>
                <w:sz w:val="24"/>
              </w:rPr>
            </w:pPr>
          </w:p>
        </w:tc>
        <w:tc>
          <w:tcPr>
            <w:tcW w:w="1110" w:type="dxa"/>
            <w:vMerge w:val="continue"/>
            <w:noWrap w:val="0"/>
            <w:vAlign w:val="top"/>
          </w:tcPr>
          <w:p>
            <w:pPr>
              <w:pStyle w:val="4"/>
              <w:spacing w:line="300" w:lineRule="exact"/>
              <w:ind w:firstLine="0" w:firstLineChars="0"/>
              <w:rPr>
                <w:rFonts w:ascii="方正仿宋_GBK" w:eastAsia="方正仿宋_GBK"/>
                <w:sz w:val="24"/>
              </w:rPr>
            </w:pPr>
          </w:p>
        </w:tc>
        <w:tc>
          <w:tcPr>
            <w:tcW w:w="810" w:type="dxa"/>
            <w:vMerge w:val="continue"/>
            <w:noWrap w:val="0"/>
            <w:vAlign w:val="top"/>
          </w:tcPr>
          <w:p>
            <w:pPr>
              <w:pStyle w:val="4"/>
              <w:spacing w:line="300" w:lineRule="exact"/>
              <w:ind w:firstLine="0" w:firstLineChars="0"/>
              <w:rPr>
                <w:rFonts w:ascii="方正仿宋_GBK" w:eastAsia="方正仿宋_GBK"/>
                <w:sz w:val="24"/>
              </w:rPr>
            </w:pPr>
          </w:p>
        </w:tc>
        <w:tc>
          <w:tcPr>
            <w:tcW w:w="795" w:type="dxa"/>
            <w:vMerge w:val="continue"/>
            <w:noWrap w:val="0"/>
            <w:vAlign w:val="top"/>
          </w:tcPr>
          <w:p>
            <w:pPr>
              <w:pStyle w:val="4"/>
              <w:spacing w:line="300" w:lineRule="exact"/>
              <w:ind w:firstLine="0" w:firstLineChars="0"/>
              <w:rPr>
                <w:rFonts w:ascii="方正仿宋_GBK" w:eastAsia="方正仿宋_GBK"/>
                <w:sz w:val="24"/>
              </w:rPr>
            </w:pPr>
          </w:p>
        </w:tc>
        <w:tc>
          <w:tcPr>
            <w:tcW w:w="795" w:type="dxa"/>
            <w:vMerge w:val="continue"/>
            <w:noWrap w:val="0"/>
            <w:vAlign w:val="top"/>
          </w:tcPr>
          <w:p>
            <w:pPr>
              <w:pStyle w:val="4"/>
              <w:spacing w:line="300" w:lineRule="exact"/>
              <w:ind w:firstLine="0" w:firstLineChars="0"/>
              <w:rPr>
                <w:rFonts w:ascii="方正仿宋_GBK" w:eastAsia="方正仿宋_GBK"/>
                <w:sz w:val="24"/>
              </w:rPr>
            </w:pPr>
          </w:p>
        </w:tc>
        <w:tc>
          <w:tcPr>
            <w:tcW w:w="780" w:type="dxa"/>
            <w:vMerge w:val="continue"/>
            <w:noWrap w:val="0"/>
            <w:vAlign w:val="top"/>
          </w:tcPr>
          <w:p>
            <w:pPr>
              <w:pStyle w:val="4"/>
              <w:spacing w:line="300" w:lineRule="exact"/>
              <w:ind w:firstLine="0" w:firstLineChars="0"/>
              <w:rPr>
                <w:rFonts w:ascii="方正仿宋_GBK" w:eastAsia="方正仿宋_GBK"/>
                <w:sz w:val="24"/>
              </w:rPr>
            </w:pPr>
          </w:p>
        </w:tc>
        <w:tc>
          <w:tcPr>
            <w:tcW w:w="795" w:type="dxa"/>
            <w:vMerge w:val="continue"/>
            <w:noWrap w:val="0"/>
            <w:vAlign w:val="top"/>
          </w:tcPr>
          <w:p>
            <w:pPr>
              <w:pStyle w:val="4"/>
              <w:spacing w:line="300" w:lineRule="exact"/>
              <w:ind w:firstLine="0" w:firstLineChars="0"/>
              <w:rPr>
                <w:rFonts w:ascii="方正仿宋_GBK" w:eastAsia="方正仿宋_GBK"/>
                <w:sz w:val="24"/>
              </w:rPr>
            </w:pPr>
          </w:p>
        </w:tc>
        <w:tc>
          <w:tcPr>
            <w:tcW w:w="1165" w:type="dxa"/>
            <w:vMerge w:val="continue"/>
            <w:noWrap w:val="0"/>
            <w:vAlign w:val="top"/>
          </w:tcPr>
          <w:p>
            <w:pPr>
              <w:pStyle w:val="4"/>
              <w:spacing w:line="300" w:lineRule="exact"/>
              <w:ind w:firstLine="0" w:firstLineChars="0"/>
              <w:rPr>
                <w:rFonts w:ascii="方正仿宋_GBK" w:eastAsia="方正仿宋_GBK"/>
                <w:sz w:val="24"/>
              </w:rPr>
            </w:pPr>
          </w:p>
        </w:tc>
        <w:tc>
          <w:tcPr>
            <w:tcW w:w="795" w:type="dxa"/>
            <w:vMerge w:val="continue"/>
            <w:noWrap w:val="0"/>
            <w:vAlign w:val="top"/>
          </w:tcPr>
          <w:p>
            <w:pPr>
              <w:pStyle w:val="4"/>
              <w:spacing w:line="300" w:lineRule="exact"/>
              <w:ind w:firstLine="0" w:firstLineChars="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100" w:type="dxa"/>
            <w:vMerge w:val="continue"/>
            <w:noWrap w:val="0"/>
            <w:vAlign w:val="center"/>
          </w:tcPr>
          <w:p>
            <w:pPr>
              <w:pStyle w:val="4"/>
              <w:spacing w:line="300" w:lineRule="exact"/>
              <w:ind w:firstLine="0" w:firstLineChars="0"/>
              <w:jc w:val="center"/>
              <w:rPr>
                <w:rFonts w:ascii="方正仿宋_GBK" w:eastAsia="方正仿宋_GBK"/>
                <w:sz w:val="24"/>
              </w:rPr>
            </w:pPr>
          </w:p>
        </w:tc>
        <w:tc>
          <w:tcPr>
            <w:tcW w:w="900"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480"/>
              <w:jc w:val="center"/>
              <w:textAlignment w:val="auto"/>
              <w:rPr>
                <w:rFonts w:ascii="方正仿宋_GBK" w:eastAsia="方正仿宋_GBK"/>
                <w:sz w:val="24"/>
              </w:rPr>
            </w:pPr>
          </w:p>
        </w:tc>
        <w:tc>
          <w:tcPr>
            <w:tcW w:w="93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ascii="方正仿宋_GBK" w:eastAsia="方正仿宋_GBK"/>
                <w:sz w:val="24"/>
              </w:rPr>
            </w:pPr>
            <w:r>
              <w:rPr>
                <w:rFonts w:hint="eastAsia" w:ascii="方正仿宋_GBK" w:eastAsia="方正仿宋_GBK"/>
                <w:sz w:val="24"/>
              </w:rPr>
              <w:t>粉尘超标</w:t>
            </w:r>
            <w:r>
              <w:rPr>
                <w:rFonts w:hint="eastAsia" w:ascii="方正仿宋_GBK" w:eastAsia="方正仿宋_GBK"/>
                <w:sz w:val="24"/>
                <w:lang w:eastAsia="zh-CN"/>
              </w:rPr>
              <w:t>企业（</w:t>
            </w:r>
            <w:r>
              <w:rPr>
                <w:rFonts w:hint="eastAsia" w:ascii="方正仿宋_GBK" w:eastAsia="方正仿宋_GBK"/>
                <w:sz w:val="24"/>
              </w:rPr>
              <w:t>家</w:t>
            </w:r>
            <w:r>
              <w:rPr>
                <w:rFonts w:hint="eastAsia" w:ascii="方正仿宋_GBK" w:eastAsia="方正仿宋_GBK"/>
                <w:sz w:val="24"/>
                <w:lang w:eastAsia="zh-CN"/>
              </w:rPr>
              <w:t>）</w:t>
            </w:r>
          </w:p>
        </w:tc>
        <w:tc>
          <w:tcPr>
            <w:tcW w:w="111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仿宋_GBK" w:eastAsia="方正仿宋_GBK"/>
                <w:sz w:val="24"/>
              </w:rPr>
            </w:pPr>
            <w:r>
              <w:rPr>
                <w:rFonts w:hint="eastAsia" w:ascii="方正仿宋_GBK" w:eastAsia="方正仿宋_GBK"/>
                <w:sz w:val="24"/>
              </w:rPr>
              <w:t>化学毒物</w:t>
            </w:r>
          </w:p>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仿宋_GBK" w:eastAsia="方正仿宋_GBK"/>
                <w:sz w:val="24"/>
                <w:lang w:eastAsia="zh-CN"/>
              </w:rPr>
            </w:pPr>
            <w:r>
              <w:rPr>
                <w:rFonts w:hint="eastAsia" w:ascii="方正仿宋_GBK" w:eastAsia="方正仿宋_GBK"/>
                <w:sz w:val="24"/>
              </w:rPr>
              <w:t>超标</w:t>
            </w:r>
            <w:r>
              <w:rPr>
                <w:rFonts w:hint="eastAsia" w:ascii="方正仿宋_GBK" w:eastAsia="方正仿宋_GBK"/>
                <w:sz w:val="24"/>
                <w:lang w:eastAsia="zh-CN"/>
              </w:rPr>
              <w:t>企业</w:t>
            </w:r>
          </w:p>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仿宋_GBK" w:eastAsia="方正仿宋_GBK"/>
                <w:sz w:val="24"/>
                <w:lang w:eastAsia="zh-CN"/>
              </w:rPr>
            </w:pPr>
            <w:r>
              <w:rPr>
                <w:rFonts w:hint="eastAsia" w:ascii="方正仿宋_GBK" w:eastAsia="方正仿宋_GBK"/>
                <w:sz w:val="24"/>
                <w:lang w:eastAsia="zh-CN"/>
              </w:rPr>
              <w:t>（家）</w:t>
            </w:r>
          </w:p>
        </w:tc>
        <w:tc>
          <w:tcPr>
            <w:tcW w:w="915"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方正仿宋_GBK" w:eastAsia="方正仿宋_GBK"/>
                <w:sz w:val="24"/>
                <w:lang w:eastAsia="zh-CN"/>
              </w:rPr>
            </w:pPr>
            <w:r>
              <w:rPr>
                <w:rFonts w:hint="eastAsia" w:ascii="方正仿宋_GBK" w:eastAsia="方正仿宋_GBK"/>
                <w:sz w:val="24"/>
              </w:rPr>
              <w:t>噪声超标</w:t>
            </w:r>
            <w:r>
              <w:rPr>
                <w:rFonts w:hint="eastAsia" w:ascii="方正仿宋_GBK" w:eastAsia="方正仿宋_GBK"/>
                <w:sz w:val="24"/>
                <w:lang w:eastAsia="zh-CN"/>
              </w:rPr>
              <w:t>企业</w:t>
            </w:r>
          </w:p>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ascii="方正仿宋_GBK" w:eastAsia="方正仿宋_GBK"/>
                <w:sz w:val="24"/>
              </w:rPr>
            </w:pPr>
            <w:r>
              <w:rPr>
                <w:rFonts w:hint="eastAsia" w:ascii="方正仿宋_GBK" w:eastAsia="方正仿宋_GBK"/>
                <w:sz w:val="24"/>
                <w:lang w:eastAsia="zh-CN"/>
              </w:rPr>
              <w:t>（</w:t>
            </w:r>
            <w:r>
              <w:rPr>
                <w:rFonts w:hint="eastAsia" w:ascii="方正仿宋_GBK" w:eastAsia="方正仿宋_GBK"/>
                <w:sz w:val="24"/>
              </w:rPr>
              <w:t>家</w:t>
            </w:r>
            <w:r>
              <w:rPr>
                <w:rFonts w:hint="eastAsia" w:ascii="方正仿宋_GBK" w:eastAsia="方正仿宋_GBK"/>
                <w:sz w:val="24"/>
                <w:lang w:eastAsia="zh-CN"/>
              </w:rPr>
              <w:t>）</w:t>
            </w:r>
          </w:p>
        </w:tc>
        <w:tc>
          <w:tcPr>
            <w:tcW w:w="825" w:type="dxa"/>
            <w:vMerge w:val="continue"/>
            <w:noWrap w:val="0"/>
            <w:vAlign w:val="top"/>
          </w:tcPr>
          <w:p>
            <w:pPr>
              <w:pStyle w:val="4"/>
              <w:spacing w:line="300" w:lineRule="exact"/>
              <w:ind w:firstLine="0" w:firstLineChars="0"/>
              <w:rPr>
                <w:rFonts w:ascii="方正仿宋_GBK" w:eastAsia="方正仿宋_GBK"/>
                <w:sz w:val="24"/>
              </w:rPr>
            </w:pPr>
          </w:p>
        </w:tc>
        <w:tc>
          <w:tcPr>
            <w:tcW w:w="810" w:type="dxa"/>
            <w:vMerge w:val="continue"/>
            <w:noWrap w:val="0"/>
            <w:vAlign w:val="top"/>
          </w:tcPr>
          <w:p>
            <w:pPr>
              <w:pStyle w:val="4"/>
              <w:spacing w:line="300" w:lineRule="exact"/>
              <w:ind w:firstLine="0" w:firstLineChars="0"/>
              <w:rPr>
                <w:rFonts w:ascii="方正仿宋_GBK" w:eastAsia="方正仿宋_GBK"/>
                <w:sz w:val="24"/>
              </w:rPr>
            </w:pPr>
          </w:p>
        </w:tc>
        <w:tc>
          <w:tcPr>
            <w:tcW w:w="810" w:type="dxa"/>
            <w:vMerge w:val="continue"/>
            <w:noWrap w:val="0"/>
            <w:vAlign w:val="top"/>
          </w:tcPr>
          <w:p>
            <w:pPr>
              <w:pStyle w:val="4"/>
              <w:spacing w:line="300" w:lineRule="exact"/>
              <w:ind w:firstLine="0" w:firstLineChars="0"/>
              <w:rPr>
                <w:rFonts w:ascii="方正仿宋_GBK" w:eastAsia="方正仿宋_GBK"/>
                <w:sz w:val="24"/>
              </w:rPr>
            </w:pPr>
          </w:p>
        </w:tc>
        <w:tc>
          <w:tcPr>
            <w:tcW w:w="1110" w:type="dxa"/>
            <w:vMerge w:val="continue"/>
            <w:noWrap w:val="0"/>
            <w:vAlign w:val="top"/>
          </w:tcPr>
          <w:p>
            <w:pPr>
              <w:pStyle w:val="4"/>
              <w:spacing w:line="300" w:lineRule="exact"/>
              <w:ind w:firstLine="0" w:firstLineChars="0"/>
              <w:rPr>
                <w:rFonts w:ascii="方正仿宋_GBK" w:eastAsia="方正仿宋_GBK"/>
                <w:sz w:val="24"/>
              </w:rPr>
            </w:pPr>
          </w:p>
        </w:tc>
        <w:tc>
          <w:tcPr>
            <w:tcW w:w="810" w:type="dxa"/>
            <w:vMerge w:val="continue"/>
            <w:noWrap w:val="0"/>
            <w:vAlign w:val="top"/>
          </w:tcPr>
          <w:p>
            <w:pPr>
              <w:pStyle w:val="4"/>
              <w:spacing w:line="300" w:lineRule="exact"/>
              <w:ind w:firstLine="0" w:firstLineChars="0"/>
              <w:rPr>
                <w:rFonts w:ascii="方正仿宋_GBK" w:eastAsia="方正仿宋_GBK"/>
                <w:sz w:val="24"/>
              </w:rPr>
            </w:pPr>
          </w:p>
        </w:tc>
        <w:tc>
          <w:tcPr>
            <w:tcW w:w="795" w:type="dxa"/>
            <w:vMerge w:val="continue"/>
            <w:noWrap w:val="0"/>
            <w:vAlign w:val="top"/>
          </w:tcPr>
          <w:p>
            <w:pPr>
              <w:pStyle w:val="4"/>
              <w:spacing w:line="300" w:lineRule="exact"/>
              <w:ind w:firstLine="0" w:firstLineChars="0"/>
              <w:rPr>
                <w:rFonts w:ascii="方正仿宋_GBK" w:eastAsia="方正仿宋_GBK"/>
                <w:sz w:val="24"/>
              </w:rPr>
            </w:pPr>
          </w:p>
        </w:tc>
        <w:tc>
          <w:tcPr>
            <w:tcW w:w="795" w:type="dxa"/>
            <w:vMerge w:val="continue"/>
            <w:noWrap w:val="0"/>
            <w:vAlign w:val="top"/>
          </w:tcPr>
          <w:p>
            <w:pPr>
              <w:pStyle w:val="4"/>
              <w:spacing w:line="300" w:lineRule="exact"/>
              <w:ind w:firstLine="0" w:firstLineChars="0"/>
              <w:rPr>
                <w:rFonts w:ascii="方正仿宋_GBK" w:eastAsia="方正仿宋_GBK"/>
                <w:sz w:val="24"/>
              </w:rPr>
            </w:pPr>
          </w:p>
        </w:tc>
        <w:tc>
          <w:tcPr>
            <w:tcW w:w="780" w:type="dxa"/>
            <w:vMerge w:val="continue"/>
            <w:noWrap w:val="0"/>
            <w:vAlign w:val="top"/>
          </w:tcPr>
          <w:p>
            <w:pPr>
              <w:pStyle w:val="4"/>
              <w:spacing w:line="300" w:lineRule="exact"/>
              <w:ind w:firstLine="0" w:firstLineChars="0"/>
              <w:rPr>
                <w:rFonts w:ascii="方正仿宋_GBK" w:eastAsia="方正仿宋_GBK"/>
                <w:sz w:val="24"/>
              </w:rPr>
            </w:pPr>
          </w:p>
        </w:tc>
        <w:tc>
          <w:tcPr>
            <w:tcW w:w="795" w:type="dxa"/>
            <w:vMerge w:val="continue"/>
            <w:noWrap w:val="0"/>
            <w:vAlign w:val="top"/>
          </w:tcPr>
          <w:p>
            <w:pPr>
              <w:pStyle w:val="4"/>
              <w:spacing w:line="300" w:lineRule="exact"/>
              <w:ind w:firstLine="0" w:firstLineChars="0"/>
              <w:rPr>
                <w:rFonts w:ascii="方正仿宋_GBK" w:eastAsia="方正仿宋_GBK"/>
                <w:sz w:val="24"/>
              </w:rPr>
            </w:pPr>
          </w:p>
        </w:tc>
        <w:tc>
          <w:tcPr>
            <w:tcW w:w="1165" w:type="dxa"/>
            <w:vMerge w:val="continue"/>
            <w:noWrap w:val="0"/>
            <w:vAlign w:val="top"/>
          </w:tcPr>
          <w:p>
            <w:pPr>
              <w:pStyle w:val="4"/>
              <w:spacing w:line="300" w:lineRule="exact"/>
              <w:ind w:firstLine="0" w:firstLineChars="0"/>
              <w:rPr>
                <w:rFonts w:ascii="方正仿宋_GBK" w:eastAsia="方正仿宋_GBK"/>
                <w:sz w:val="24"/>
              </w:rPr>
            </w:pPr>
          </w:p>
        </w:tc>
        <w:tc>
          <w:tcPr>
            <w:tcW w:w="795" w:type="dxa"/>
            <w:vMerge w:val="continue"/>
            <w:noWrap w:val="0"/>
            <w:vAlign w:val="top"/>
          </w:tcPr>
          <w:p>
            <w:pPr>
              <w:pStyle w:val="4"/>
              <w:spacing w:line="300" w:lineRule="exact"/>
              <w:ind w:firstLine="0" w:firstLineChars="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1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方正仿宋_GBK" w:eastAsia="方正仿宋_GBK" w:cs="Times New Roman"/>
                <w:sz w:val="24"/>
                <w:lang w:val="en-US" w:eastAsia="zh-CN"/>
              </w:rPr>
            </w:pPr>
            <w:r>
              <w:rPr>
                <w:rFonts w:hint="default" w:ascii="方正仿宋_GBK" w:eastAsia="方正仿宋_GBK" w:cs="Times New Roman"/>
                <w:sz w:val="24"/>
              </w:rPr>
              <w:t>粉尘</w:t>
            </w:r>
            <w:r>
              <w:rPr>
                <w:rFonts w:hint="eastAsia" w:ascii="方正仿宋_GBK" w:eastAsia="方正仿宋_GBK" w:cs="Times New Roman"/>
                <w:sz w:val="24"/>
                <w:lang w:eastAsia="zh-CN"/>
              </w:rPr>
              <w:t>：</w:t>
            </w:r>
            <w:r>
              <w:rPr>
                <w:rFonts w:hint="eastAsia" w:ascii="方正仿宋_GBK" w:eastAsia="方正仿宋_GBK" w:cs="Times New Roman"/>
                <w:sz w:val="24"/>
                <w:u w:val="single"/>
                <w:lang w:val="en-US" w:eastAsia="zh-CN"/>
              </w:rPr>
              <w:t xml:space="preserve">   </w:t>
            </w:r>
            <w:r>
              <w:rPr>
                <w:rFonts w:hint="eastAsia" w:ascii="方正仿宋_GBK" w:eastAsia="方正仿宋_GBK" w:cs="Times New Roman"/>
                <w:sz w:val="24"/>
                <w:lang w:val="en-US" w:eastAsia="zh-CN"/>
              </w:rPr>
              <w:t>家</w:t>
            </w:r>
          </w:p>
        </w:tc>
        <w:tc>
          <w:tcPr>
            <w:tcW w:w="900" w:type="dxa"/>
            <w:noWrap w:val="0"/>
            <w:vAlign w:val="top"/>
          </w:tcPr>
          <w:p>
            <w:pPr>
              <w:pStyle w:val="4"/>
              <w:spacing w:line="300" w:lineRule="exact"/>
              <w:ind w:firstLine="0" w:firstLineChars="0"/>
              <w:rPr>
                <w:rFonts w:ascii="方正仿宋_GBK" w:eastAsia="方正仿宋_GBK"/>
                <w:sz w:val="24"/>
              </w:rPr>
            </w:pPr>
          </w:p>
        </w:tc>
        <w:tc>
          <w:tcPr>
            <w:tcW w:w="930" w:type="dxa"/>
            <w:noWrap w:val="0"/>
            <w:vAlign w:val="top"/>
          </w:tcPr>
          <w:p>
            <w:pPr>
              <w:pStyle w:val="4"/>
              <w:spacing w:line="300" w:lineRule="exact"/>
              <w:ind w:firstLine="0" w:firstLineChars="0"/>
              <w:rPr>
                <w:rFonts w:ascii="方正仿宋_GBK" w:eastAsia="方正仿宋_GBK"/>
                <w:sz w:val="24"/>
              </w:rPr>
            </w:pPr>
          </w:p>
        </w:tc>
        <w:tc>
          <w:tcPr>
            <w:tcW w:w="1110" w:type="dxa"/>
            <w:noWrap w:val="0"/>
            <w:vAlign w:val="top"/>
          </w:tcPr>
          <w:p>
            <w:pPr>
              <w:pStyle w:val="4"/>
              <w:spacing w:line="300" w:lineRule="exact"/>
              <w:ind w:firstLine="0" w:firstLineChars="0"/>
              <w:rPr>
                <w:rFonts w:ascii="方正仿宋_GBK" w:eastAsia="方正仿宋_GBK"/>
                <w:sz w:val="24"/>
              </w:rPr>
            </w:pPr>
          </w:p>
        </w:tc>
        <w:tc>
          <w:tcPr>
            <w:tcW w:w="915" w:type="dxa"/>
            <w:noWrap w:val="0"/>
            <w:vAlign w:val="top"/>
          </w:tcPr>
          <w:p>
            <w:pPr>
              <w:pStyle w:val="4"/>
              <w:spacing w:line="300" w:lineRule="exact"/>
              <w:ind w:firstLine="0" w:firstLineChars="0"/>
              <w:rPr>
                <w:rFonts w:ascii="方正仿宋_GBK" w:eastAsia="方正仿宋_GBK"/>
                <w:sz w:val="24"/>
              </w:rPr>
            </w:pPr>
          </w:p>
        </w:tc>
        <w:tc>
          <w:tcPr>
            <w:tcW w:w="825" w:type="dxa"/>
            <w:noWrap w:val="0"/>
            <w:vAlign w:val="top"/>
          </w:tcPr>
          <w:p>
            <w:pPr>
              <w:pStyle w:val="4"/>
              <w:spacing w:line="300" w:lineRule="exact"/>
              <w:ind w:firstLine="0" w:firstLineChars="0"/>
              <w:rPr>
                <w:rFonts w:ascii="方正仿宋_GBK" w:eastAsia="方正仿宋_GBK"/>
                <w:sz w:val="24"/>
              </w:rPr>
            </w:pPr>
          </w:p>
        </w:tc>
        <w:tc>
          <w:tcPr>
            <w:tcW w:w="810" w:type="dxa"/>
            <w:noWrap w:val="0"/>
            <w:vAlign w:val="top"/>
          </w:tcPr>
          <w:p>
            <w:pPr>
              <w:pStyle w:val="4"/>
              <w:spacing w:line="300" w:lineRule="exact"/>
              <w:ind w:firstLine="0" w:firstLineChars="0"/>
              <w:rPr>
                <w:rFonts w:ascii="方正仿宋_GBK" w:eastAsia="方正仿宋_GBK"/>
                <w:sz w:val="24"/>
              </w:rPr>
            </w:pPr>
          </w:p>
        </w:tc>
        <w:tc>
          <w:tcPr>
            <w:tcW w:w="810" w:type="dxa"/>
            <w:noWrap w:val="0"/>
            <w:vAlign w:val="top"/>
          </w:tcPr>
          <w:p>
            <w:pPr>
              <w:pStyle w:val="4"/>
              <w:spacing w:line="300" w:lineRule="exact"/>
              <w:ind w:firstLine="0" w:firstLineChars="0"/>
              <w:rPr>
                <w:rFonts w:ascii="方正仿宋_GBK" w:eastAsia="方正仿宋_GBK"/>
                <w:sz w:val="24"/>
              </w:rPr>
            </w:pPr>
          </w:p>
        </w:tc>
        <w:tc>
          <w:tcPr>
            <w:tcW w:w="1110" w:type="dxa"/>
            <w:noWrap w:val="0"/>
            <w:vAlign w:val="top"/>
          </w:tcPr>
          <w:p>
            <w:pPr>
              <w:pStyle w:val="4"/>
              <w:spacing w:line="300" w:lineRule="exact"/>
              <w:ind w:firstLine="0" w:firstLineChars="0"/>
              <w:rPr>
                <w:rFonts w:ascii="方正仿宋_GBK" w:eastAsia="方正仿宋_GBK"/>
                <w:sz w:val="24"/>
              </w:rPr>
            </w:pPr>
          </w:p>
        </w:tc>
        <w:tc>
          <w:tcPr>
            <w:tcW w:w="810"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c>
          <w:tcPr>
            <w:tcW w:w="780"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c>
          <w:tcPr>
            <w:tcW w:w="1165"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方正仿宋_GBK" w:eastAsia="方正仿宋_GBK" w:cs="Times New Roman"/>
                <w:sz w:val="24"/>
                <w:lang w:val="en-US" w:eastAsia="zh-CN"/>
              </w:rPr>
            </w:pPr>
            <w:r>
              <w:rPr>
                <w:rFonts w:hint="default" w:ascii="方正仿宋_GBK" w:eastAsia="方正仿宋_GBK" w:cs="Times New Roman"/>
                <w:sz w:val="24"/>
              </w:rPr>
              <w:t>化学毒物</w:t>
            </w:r>
            <w:r>
              <w:rPr>
                <w:rFonts w:hint="eastAsia" w:ascii="方正仿宋_GBK" w:eastAsia="方正仿宋_GBK" w:cs="Times New Roman"/>
                <w:sz w:val="24"/>
                <w:lang w:eastAsia="zh-CN"/>
              </w:rPr>
              <w:t>：</w:t>
            </w:r>
            <w:r>
              <w:rPr>
                <w:rFonts w:hint="eastAsia" w:ascii="方正仿宋_GBK" w:eastAsia="方正仿宋_GBK" w:cs="Times New Roman"/>
                <w:sz w:val="24"/>
                <w:u w:val="single"/>
                <w:lang w:val="en-US" w:eastAsia="zh-CN"/>
              </w:rPr>
              <w:t xml:space="preserve">   </w:t>
            </w:r>
            <w:r>
              <w:rPr>
                <w:rFonts w:hint="eastAsia" w:ascii="方正仿宋_GBK" w:eastAsia="方正仿宋_GBK" w:cs="Times New Roman"/>
                <w:sz w:val="24"/>
                <w:lang w:val="en-US" w:eastAsia="zh-CN"/>
              </w:rPr>
              <w:t>家</w:t>
            </w:r>
          </w:p>
        </w:tc>
        <w:tc>
          <w:tcPr>
            <w:tcW w:w="900" w:type="dxa"/>
            <w:noWrap w:val="0"/>
            <w:vAlign w:val="top"/>
          </w:tcPr>
          <w:p>
            <w:pPr>
              <w:pStyle w:val="4"/>
              <w:spacing w:line="300" w:lineRule="exact"/>
              <w:ind w:firstLine="0" w:firstLineChars="0"/>
              <w:rPr>
                <w:rFonts w:ascii="方正仿宋_GBK" w:eastAsia="方正仿宋_GBK"/>
                <w:sz w:val="24"/>
              </w:rPr>
            </w:pPr>
          </w:p>
        </w:tc>
        <w:tc>
          <w:tcPr>
            <w:tcW w:w="930" w:type="dxa"/>
            <w:noWrap w:val="0"/>
            <w:vAlign w:val="top"/>
          </w:tcPr>
          <w:p>
            <w:pPr>
              <w:pStyle w:val="4"/>
              <w:spacing w:line="300" w:lineRule="exact"/>
              <w:ind w:firstLine="0" w:firstLineChars="0"/>
              <w:rPr>
                <w:rFonts w:ascii="方正仿宋_GBK" w:eastAsia="方正仿宋_GBK"/>
                <w:sz w:val="24"/>
              </w:rPr>
            </w:pPr>
          </w:p>
        </w:tc>
        <w:tc>
          <w:tcPr>
            <w:tcW w:w="1110" w:type="dxa"/>
            <w:noWrap w:val="0"/>
            <w:vAlign w:val="top"/>
          </w:tcPr>
          <w:p>
            <w:pPr>
              <w:pStyle w:val="4"/>
              <w:spacing w:line="300" w:lineRule="exact"/>
              <w:ind w:firstLine="0" w:firstLineChars="0"/>
              <w:rPr>
                <w:rFonts w:ascii="方正仿宋_GBK" w:eastAsia="方正仿宋_GBK"/>
                <w:sz w:val="24"/>
              </w:rPr>
            </w:pPr>
          </w:p>
        </w:tc>
        <w:tc>
          <w:tcPr>
            <w:tcW w:w="915" w:type="dxa"/>
            <w:noWrap w:val="0"/>
            <w:vAlign w:val="top"/>
          </w:tcPr>
          <w:p>
            <w:pPr>
              <w:pStyle w:val="4"/>
              <w:spacing w:line="300" w:lineRule="exact"/>
              <w:ind w:firstLine="0" w:firstLineChars="0"/>
              <w:rPr>
                <w:rFonts w:ascii="方正仿宋_GBK" w:eastAsia="方正仿宋_GBK"/>
                <w:sz w:val="24"/>
              </w:rPr>
            </w:pPr>
          </w:p>
        </w:tc>
        <w:tc>
          <w:tcPr>
            <w:tcW w:w="825" w:type="dxa"/>
            <w:noWrap w:val="0"/>
            <w:vAlign w:val="top"/>
          </w:tcPr>
          <w:p>
            <w:pPr>
              <w:pStyle w:val="4"/>
              <w:spacing w:line="300" w:lineRule="exact"/>
              <w:ind w:firstLine="0" w:firstLineChars="0"/>
              <w:rPr>
                <w:rFonts w:ascii="方正仿宋_GBK" w:eastAsia="方正仿宋_GBK"/>
                <w:sz w:val="24"/>
              </w:rPr>
            </w:pPr>
          </w:p>
        </w:tc>
        <w:tc>
          <w:tcPr>
            <w:tcW w:w="810" w:type="dxa"/>
            <w:noWrap w:val="0"/>
            <w:vAlign w:val="top"/>
          </w:tcPr>
          <w:p>
            <w:pPr>
              <w:pStyle w:val="4"/>
              <w:spacing w:line="300" w:lineRule="exact"/>
              <w:ind w:firstLine="0" w:firstLineChars="0"/>
              <w:rPr>
                <w:rFonts w:ascii="方正仿宋_GBK" w:eastAsia="方正仿宋_GBK"/>
                <w:sz w:val="24"/>
              </w:rPr>
            </w:pPr>
          </w:p>
        </w:tc>
        <w:tc>
          <w:tcPr>
            <w:tcW w:w="810" w:type="dxa"/>
            <w:noWrap w:val="0"/>
            <w:vAlign w:val="top"/>
          </w:tcPr>
          <w:p>
            <w:pPr>
              <w:pStyle w:val="4"/>
              <w:spacing w:line="300" w:lineRule="exact"/>
              <w:ind w:firstLine="0" w:firstLineChars="0"/>
              <w:rPr>
                <w:rFonts w:ascii="方正仿宋_GBK" w:eastAsia="方正仿宋_GBK"/>
                <w:sz w:val="24"/>
              </w:rPr>
            </w:pPr>
          </w:p>
        </w:tc>
        <w:tc>
          <w:tcPr>
            <w:tcW w:w="1110" w:type="dxa"/>
            <w:noWrap w:val="0"/>
            <w:vAlign w:val="top"/>
          </w:tcPr>
          <w:p>
            <w:pPr>
              <w:pStyle w:val="4"/>
              <w:spacing w:line="300" w:lineRule="exact"/>
              <w:ind w:firstLine="0" w:firstLineChars="0"/>
              <w:rPr>
                <w:rFonts w:ascii="方正仿宋_GBK" w:eastAsia="方正仿宋_GBK"/>
                <w:sz w:val="24"/>
              </w:rPr>
            </w:pPr>
          </w:p>
        </w:tc>
        <w:tc>
          <w:tcPr>
            <w:tcW w:w="810"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c>
          <w:tcPr>
            <w:tcW w:w="780"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c>
          <w:tcPr>
            <w:tcW w:w="1165"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方正仿宋_GBK" w:eastAsia="方正仿宋_GBK" w:cs="Times New Roman"/>
                <w:sz w:val="24"/>
                <w:lang w:val="en-US" w:eastAsia="zh-CN"/>
              </w:rPr>
            </w:pPr>
            <w:r>
              <w:rPr>
                <w:rFonts w:hint="default" w:ascii="方正仿宋_GBK" w:eastAsia="方正仿宋_GBK" w:cs="Times New Roman"/>
                <w:sz w:val="24"/>
              </w:rPr>
              <w:t>噪声</w:t>
            </w:r>
            <w:r>
              <w:rPr>
                <w:rFonts w:hint="eastAsia" w:ascii="方正仿宋_GBK" w:eastAsia="方正仿宋_GBK" w:cs="Times New Roman"/>
                <w:sz w:val="24"/>
                <w:lang w:eastAsia="zh-CN"/>
              </w:rPr>
              <w:t>：</w:t>
            </w:r>
            <w:r>
              <w:rPr>
                <w:rFonts w:hint="eastAsia" w:ascii="方正仿宋_GBK" w:eastAsia="方正仿宋_GBK" w:cs="Times New Roman"/>
                <w:sz w:val="24"/>
                <w:u w:val="single"/>
                <w:lang w:val="en-US" w:eastAsia="zh-CN"/>
              </w:rPr>
              <w:t xml:space="preserve">   </w:t>
            </w:r>
            <w:r>
              <w:rPr>
                <w:rFonts w:hint="eastAsia" w:ascii="方正仿宋_GBK" w:eastAsia="方正仿宋_GBK" w:cs="Times New Roman"/>
                <w:sz w:val="24"/>
                <w:lang w:val="en-US" w:eastAsia="zh-CN"/>
              </w:rPr>
              <w:t>家</w:t>
            </w:r>
          </w:p>
        </w:tc>
        <w:tc>
          <w:tcPr>
            <w:tcW w:w="900" w:type="dxa"/>
            <w:noWrap w:val="0"/>
            <w:vAlign w:val="top"/>
          </w:tcPr>
          <w:p>
            <w:pPr>
              <w:pStyle w:val="4"/>
              <w:spacing w:line="300" w:lineRule="exact"/>
              <w:ind w:firstLine="0" w:firstLineChars="0"/>
              <w:rPr>
                <w:rFonts w:ascii="方正仿宋_GBK" w:eastAsia="方正仿宋_GBK"/>
                <w:sz w:val="24"/>
              </w:rPr>
            </w:pPr>
          </w:p>
        </w:tc>
        <w:tc>
          <w:tcPr>
            <w:tcW w:w="930" w:type="dxa"/>
            <w:noWrap w:val="0"/>
            <w:vAlign w:val="top"/>
          </w:tcPr>
          <w:p>
            <w:pPr>
              <w:pStyle w:val="4"/>
              <w:spacing w:line="300" w:lineRule="exact"/>
              <w:ind w:firstLine="0" w:firstLineChars="0"/>
              <w:rPr>
                <w:rFonts w:ascii="方正仿宋_GBK" w:eastAsia="方正仿宋_GBK"/>
                <w:sz w:val="24"/>
              </w:rPr>
            </w:pPr>
          </w:p>
        </w:tc>
        <w:tc>
          <w:tcPr>
            <w:tcW w:w="1110" w:type="dxa"/>
            <w:noWrap w:val="0"/>
            <w:vAlign w:val="top"/>
          </w:tcPr>
          <w:p>
            <w:pPr>
              <w:pStyle w:val="4"/>
              <w:spacing w:line="300" w:lineRule="exact"/>
              <w:ind w:firstLine="0" w:firstLineChars="0"/>
              <w:rPr>
                <w:rFonts w:ascii="方正仿宋_GBK" w:eastAsia="方正仿宋_GBK"/>
                <w:sz w:val="24"/>
              </w:rPr>
            </w:pPr>
          </w:p>
        </w:tc>
        <w:tc>
          <w:tcPr>
            <w:tcW w:w="915" w:type="dxa"/>
            <w:noWrap w:val="0"/>
            <w:vAlign w:val="top"/>
          </w:tcPr>
          <w:p>
            <w:pPr>
              <w:pStyle w:val="4"/>
              <w:spacing w:line="300" w:lineRule="exact"/>
              <w:ind w:firstLine="0" w:firstLineChars="0"/>
              <w:rPr>
                <w:rFonts w:ascii="方正仿宋_GBK" w:eastAsia="方正仿宋_GBK"/>
                <w:sz w:val="24"/>
              </w:rPr>
            </w:pPr>
          </w:p>
        </w:tc>
        <w:tc>
          <w:tcPr>
            <w:tcW w:w="825" w:type="dxa"/>
            <w:noWrap w:val="0"/>
            <w:vAlign w:val="top"/>
          </w:tcPr>
          <w:p>
            <w:pPr>
              <w:pStyle w:val="4"/>
              <w:spacing w:line="300" w:lineRule="exact"/>
              <w:ind w:firstLine="0" w:firstLineChars="0"/>
              <w:rPr>
                <w:rFonts w:ascii="方正仿宋_GBK" w:eastAsia="方正仿宋_GBK"/>
                <w:sz w:val="24"/>
              </w:rPr>
            </w:pPr>
          </w:p>
        </w:tc>
        <w:tc>
          <w:tcPr>
            <w:tcW w:w="810" w:type="dxa"/>
            <w:noWrap w:val="0"/>
            <w:vAlign w:val="top"/>
          </w:tcPr>
          <w:p>
            <w:pPr>
              <w:pStyle w:val="4"/>
              <w:spacing w:line="300" w:lineRule="exact"/>
              <w:ind w:firstLine="0" w:firstLineChars="0"/>
              <w:rPr>
                <w:rFonts w:ascii="方正仿宋_GBK" w:eastAsia="方正仿宋_GBK"/>
                <w:sz w:val="24"/>
              </w:rPr>
            </w:pPr>
          </w:p>
        </w:tc>
        <w:tc>
          <w:tcPr>
            <w:tcW w:w="810" w:type="dxa"/>
            <w:noWrap w:val="0"/>
            <w:vAlign w:val="top"/>
          </w:tcPr>
          <w:p>
            <w:pPr>
              <w:pStyle w:val="4"/>
              <w:spacing w:line="300" w:lineRule="exact"/>
              <w:ind w:firstLine="0" w:firstLineChars="0"/>
              <w:rPr>
                <w:rFonts w:ascii="方正仿宋_GBK" w:eastAsia="方正仿宋_GBK"/>
                <w:sz w:val="24"/>
              </w:rPr>
            </w:pPr>
          </w:p>
        </w:tc>
        <w:tc>
          <w:tcPr>
            <w:tcW w:w="1110" w:type="dxa"/>
            <w:noWrap w:val="0"/>
            <w:vAlign w:val="top"/>
          </w:tcPr>
          <w:p>
            <w:pPr>
              <w:pStyle w:val="4"/>
              <w:spacing w:line="300" w:lineRule="exact"/>
              <w:ind w:firstLine="0" w:firstLineChars="0"/>
              <w:rPr>
                <w:rFonts w:ascii="方正仿宋_GBK" w:eastAsia="方正仿宋_GBK"/>
                <w:sz w:val="24"/>
              </w:rPr>
            </w:pPr>
          </w:p>
        </w:tc>
        <w:tc>
          <w:tcPr>
            <w:tcW w:w="810"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c>
          <w:tcPr>
            <w:tcW w:w="780"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c>
          <w:tcPr>
            <w:tcW w:w="1165"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方正仿宋_GBK" w:eastAsia="方正仿宋_GBK" w:cs="Times New Roman"/>
                <w:sz w:val="24"/>
                <w:lang w:val="en-US" w:eastAsia="zh-CN"/>
              </w:rPr>
            </w:pPr>
            <w:r>
              <w:rPr>
                <w:rFonts w:hint="eastAsia" w:ascii="方正仿宋_GBK" w:eastAsia="方正仿宋_GBK" w:cs="Times New Roman"/>
                <w:sz w:val="24"/>
                <w:lang w:eastAsia="zh-CN"/>
              </w:rPr>
              <w:t>合计：</w:t>
            </w:r>
            <w:r>
              <w:rPr>
                <w:rFonts w:hint="eastAsia" w:ascii="方正仿宋_GBK" w:eastAsia="方正仿宋_GBK" w:cs="Times New Roman"/>
                <w:sz w:val="24"/>
                <w:u w:val="single"/>
                <w:lang w:val="en-US" w:eastAsia="zh-CN"/>
              </w:rPr>
              <w:t xml:space="preserve">   </w:t>
            </w:r>
            <w:r>
              <w:rPr>
                <w:rFonts w:hint="eastAsia" w:ascii="方正仿宋_GBK" w:eastAsia="方正仿宋_GBK" w:cs="Times New Roman"/>
                <w:sz w:val="24"/>
                <w:lang w:val="en-US" w:eastAsia="zh-CN"/>
              </w:rPr>
              <w:t>家</w:t>
            </w:r>
          </w:p>
        </w:tc>
        <w:tc>
          <w:tcPr>
            <w:tcW w:w="900" w:type="dxa"/>
            <w:noWrap w:val="0"/>
            <w:vAlign w:val="top"/>
          </w:tcPr>
          <w:p>
            <w:pPr>
              <w:pStyle w:val="4"/>
              <w:spacing w:line="300" w:lineRule="exact"/>
              <w:ind w:firstLine="0" w:firstLineChars="0"/>
              <w:rPr>
                <w:rFonts w:ascii="方正仿宋_GBK" w:eastAsia="方正仿宋_GBK"/>
                <w:sz w:val="24"/>
              </w:rPr>
            </w:pPr>
          </w:p>
        </w:tc>
        <w:tc>
          <w:tcPr>
            <w:tcW w:w="930" w:type="dxa"/>
            <w:noWrap w:val="0"/>
            <w:vAlign w:val="top"/>
          </w:tcPr>
          <w:p>
            <w:pPr>
              <w:pStyle w:val="4"/>
              <w:spacing w:line="300" w:lineRule="exact"/>
              <w:ind w:firstLine="0" w:firstLineChars="0"/>
              <w:rPr>
                <w:rFonts w:ascii="方正仿宋_GBK" w:eastAsia="方正仿宋_GBK"/>
                <w:sz w:val="24"/>
              </w:rPr>
            </w:pPr>
          </w:p>
        </w:tc>
        <w:tc>
          <w:tcPr>
            <w:tcW w:w="1110" w:type="dxa"/>
            <w:noWrap w:val="0"/>
            <w:vAlign w:val="top"/>
          </w:tcPr>
          <w:p>
            <w:pPr>
              <w:pStyle w:val="4"/>
              <w:spacing w:line="300" w:lineRule="exact"/>
              <w:ind w:firstLine="0" w:firstLineChars="0"/>
              <w:rPr>
                <w:rFonts w:ascii="方正仿宋_GBK" w:eastAsia="方正仿宋_GBK"/>
                <w:sz w:val="24"/>
              </w:rPr>
            </w:pPr>
          </w:p>
        </w:tc>
        <w:tc>
          <w:tcPr>
            <w:tcW w:w="915" w:type="dxa"/>
            <w:noWrap w:val="0"/>
            <w:vAlign w:val="top"/>
          </w:tcPr>
          <w:p>
            <w:pPr>
              <w:pStyle w:val="4"/>
              <w:spacing w:line="300" w:lineRule="exact"/>
              <w:ind w:firstLine="0" w:firstLineChars="0"/>
              <w:rPr>
                <w:rFonts w:ascii="方正仿宋_GBK" w:eastAsia="方正仿宋_GBK"/>
                <w:sz w:val="24"/>
              </w:rPr>
            </w:pPr>
          </w:p>
        </w:tc>
        <w:tc>
          <w:tcPr>
            <w:tcW w:w="825" w:type="dxa"/>
            <w:noWrap w:val="0"/>
            <w:vAlign w:val="top"/>
          </w:tcPr>
          <w:p>
            <w:pPr>
              <w:pStyle w:val="4"/>
              <w:spacing w:line="300" w:lineRule="exact"/>
              <w:ind w:firstLine="0" w:firstLineChars="0"/>
              <w:rPr>
                <w:rFonts w:ascii="方正仿宋_GBK" w:eastAsia="方正仿宋_GBK"/>
                <w:sz w:val="24"/>
              </w:rPr>
            </w:pPr>
          </w:p>
        </w:tc>
        <w:tc>
          <w:tcPr>
            <w:tcW w:w="810" w:type="dxa"/>
            <w:noWrap w:val="0"/>
            <w:vAlign w:val="top"/>
          </w:tcPr>
          <w:p>
            <w:pPr>
              <w:pStyle w:val="4"/>
              <w:spacing w:line="300" w:lineRule="exact"/>
              <w:ind w:firstLine="0" w:firstLineChars="0"/>
              <w:rPr>
                <w:rFonts w:ascii="方正仿宋_GBK" w:eastAsia="方正仿宋_GBK"/>
                <w:sz w:val="24"/>
              </w:rPr>
            </w:pPr>
          </w:p>
        </w:tc>
        <w:tc>
          <w:tcPr>
            <w:tcW w:w="810" w:type="dxa"/>
            <w:noWrap w:val="0"/>
            <w:vAlign w:val="top"/>
          </w:tcPr>
          <w:p>
            <w:pPr>
              <w:pStyle w:val="4"/>
              <w:spacing w:line="300" w:lineRule="exact"/>
              <w:ind w:firstLine="0" w:firstLineChars="0"/>
              <w:rPr>
                <w:rFonts w:ascii="方正仿宋_GBK" w:eastAsia="方正仿宋_GBK"/>
                <w:sz w:val="24"/>
              </w:rPr>
            </w:pPr>
          </w:p>
        </w:tc>
        <w:tc>
          <w:tcPr>
            <w:tcW w:w="1110" w:type="dxa"/>
            <w:noWrap w:val="0"/>
            <w:vAlign w:val="top"/>
          </w:tcPr>
          <w:p>
            <w:pPr>
              <w:pStyle w:val="4"/>
              <w:spacing w:line="300" w:lineRule="exact"/>
              <w:ind w:firstLine="0" w:firstLineChars="0"/>
              <w:rPr>
                <w:rFonts w:ascii="方正仿宋_GBK" w:eastAsia="方正仿宋_GBK"/>
                <w:sz w:val="24"/>
              </w:rPr>
            </w:pPr>
          </w:p>
        </w:tc>
        <w:tc>
          <w:tcPr>
            <w:tcW w:w="810"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c>
          <w:tcPr>
            <w:tcW w:w="780"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c>
          <w:tcPr>
            <w:tcW w:w="1165" w:type="dxa"/>
            <w:noWrap w:val="0"/>
            <w:vAlign w:val="top"/>
          </w:tcPr>
          <w:p>
            <w:pPr>
              <w:pStyle w:val="4"/>
              <w:spacing w:line="300" w:lineRule="exact"/>
              <w:ind w:firstLine="0" w:firstLineChars="0"/>
              <w:rPr>
                <w:rFonts w:ascii="方正仿宋_GBK" w:eastAsia="方正仿宋_GBK"/>
                <w:sz w:val="24"/>
              </w:rPr>
            </w:pPr>
          </w:p>
        </w:tc>
        <w:tc>
          <w:tcPr>
            <w:tcW w:w="795" w:type="dxa"/>
            <w:noWrap w:val="0"/>
            <w:vAlign w:val="top"/>
          </w:tcPr>
          <w:p>
            <w:pPr>
              <w:pStyle w:val="4"/>
              <w:spacing w:line="300" w:lineRule="exact"/>
              <w:ind w:firstLine="0" w:firstLineChars="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10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_GBK" w:eastAsia="方正仿宋_GBK"/>
                <w:sz w:val="24"/>
              </w:rPr>
            </w:pPr>
            <w:r>
              <w:rPr>
                <w:rFonts w:hint="eastAsia" w:ascii="方正仿宋_GBK" w:eastAsia="方正仿宋_GBK"/>
                <w:sz w:val="24"/>
              </w:rPr>
              <w:t>治理企业</w:t>
            </w:r>
          </w:p>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方正仿宋_GBK" w:eastAsia="方正仿宋_GBK"/>
                <w:sz w:val="24"/>
              </w:rPr>
            </w:pPr>
            <w:r>
              <w:rPr>
                <w:rFonts w:hint="eastAsia" w:ascii="方正仿宋_GBK" w:eastAsia="方正仿宋_GBK"/>
                <w:sz w:val="24"/>
              </w:rPr>
              <w:t>优秀案例</w:t>
            </w:r>
          </w:p>
        </w:tc>
        <w:tc>
          <w:tcPr>
            <w:tcW w:w="13345" w:type="dxa"/>
            <w:gridSpan w:val="15"/>
            <w:noWrap w:val="0"/>
            <w:vAlign w:val="top"/>
          </w:tcPr>
          <w:p>
            <w:pPr>
              <w:pStyle w:val="4"/>
              <w:spacing w:line="300" w:lineRule="exact"/>
              <w:ind w:firstLine="0" w:firstLineChars="0"/>
              <w:rPr>
                <w:rFonts w:hint="eastAsia" w:ascii="方正仿宋_GBK" w:eastAsia="方正仿宋_GBK"/>
                <w:sz w:val="24"/>
                <w:lang w:eastAsia="zh-CN"/>
              </w:rPr>
            </w:pPr>
            <w:r>
              <w:rPr>
                <w:rFonts w:hint="eastAsia" w:ascii="方正仿宋_GBK" w:eastAsia="方正仿宋_GBK"/>
                <w:sz w:val="24"/>
              </w:rPr>
              <w:t>1.主要做法</w:t>
            </w:r>
            <w:r>
              <w:rPr>
                <w:rFonts w:hint="eastAsia" w:ascii="方正仿宋_GBK" w:eastAsia="方正仿宋_GBK"/>
                <w:sz w:val="24"/>
                <w:lang w:eastAsia="zh-CN"/>
              </w:rPr>
              <w:t>：</w:t>
            </w:r>
          </w:p>
          <w:p>
            <w:pPr>
              <w:pStyle w:val="4"/>
              <w:spacing w:line="300" w:lineRule="exact"/>
              <w:ind w:firstLine="0" w:firstLineChars="0"/>
              <w:rPr>
                <w:rFonts w:hint="eastAsia" w:ascii="方正仿宋_GBK" w:eastAsia="方正仿宋_GBK"/>
                <w:sz w:val="24"/>
                <w:lang w:eastAsia="zh-CN"/>
              </w:rPr>
            </w:pPr>
            <w:r>
              <w:rPr>
                <w:rFonts w:hint="eastAsia" w:ascii="方正仿宋_GBK" w:eastAsia="方正仿宋_GBK"/>
                <w:sz w:val="24"/>
              </w:rPr>
              <w:t>2.资金投入</w:t>
            </w:r>
            <w:r>
              <w:rPr>
                <w:rFonts w:hint="eastAsia" w:ascii="方正仿宋_GBK" w:eastAsia="方正仿宋_GBK"/>
                <w:sz w:val="24"/>
                <w:lang w:eastAsia="zh-CN"/>
              </w:rPr>
              <w:t>：</w:t>
            </w:r>
          </w:p>
          <w:p>
            <w:pPr>
              <w:pStyle w:val="4"/>
              <w:spacing w:line="300" w:lineRule="exact"/>
              <w:ind w:firstLine="0" w:firstLineChars="0"/>
              <w:rPr>
                <w:rFonts w:hint="eastAsia" w:ascii="方正仿宋_GBK" w:eastAsia="方正仿宋_GBK"/>
                <w:sz w:val="24"/>
                <w:lang w:eastAsia="zh-CN"/>
              </w:rPr>
            </w:pPr>
            <w:r>
              <w:rPr>
                <w:rFonts w:hint="eastAsia" w:ascii="方正仿宋_GBK" w:eastAsia="方正仿宋_GBK"/>
                <w:sz w:val="24"/>
              </w:rPr>
              <w:t>3.整改前后效果对比</w:t>
            </w:r>
            <w:r>
              <w:rPr>
                <w:rFonts w:hint="eastAsia" w:ascii="方正仿宋_GBK" w:eastAsia="方正仿宋_GBK"/>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00" w:type="dxa"/>
            <w:noWrap w:val="0"/>
            <w:vAlign w:val="center"/>
          </w:tcPr>
          <w:p>
            <w:pPr>
              <w:pStyle w:val="4"/>
              <w:spacing w:line="300" w:lineRule="exact"/>
              <w:ind w:firstLine="0" w:firstLineChars="0"/>
              <w:jc w:val="center"/>
              <w:rPr>
                <w:rFonts w:hint="eastAsia" w:ascii="方正仿宋_GBK" w:eastAsia="方正仿宋_GBK"/>
                <w:sz w:val="24"/>
              </w:rPr>
            </w:pPr>
            <w:r>
              <w:rPr>
                <w:rFonts w:hint="eastAsia" w:ascii="方正仿宋_GBK" w:eastAsia="方正仿宋_GBK"/>
                <w:sz w:val="24"/>
              </w:rPr>
              <w:t>行政推动</w:t>
            </w:r>
          </w:p>
          <w:p>
            <w:pPr>
              <w:pStyle w:val="4"/>
              <w:spacing w:line="300" w:lineRule="exact"/>
              <w:ind w:firstLine="0" w:firstLineChars="0"/>
              <w:jc w:val="center"/>
              <w:rPr>
                <w:rFonts w:ascii="方正仿宋_GBK" w:eastAsia="方正仿宋_GBK"/>
                <w:sz w:val="24"/>
              </w:rPr>
            </w:pPr>
            <w:r>
              <w:rPr>
                <w:rFonts w:hint="eastAsia" w:ascii="方正仿宋_GBK" w:eastAsia="方正仿宋_GBK"/>
                <w:sz w:val="24"/>
              </w:rPr>
              <w:t>优秀案例</w:t>
            </w:r>
          </w:p>
        </w:tc>
        <w:tc>
          <w:tcPr>
            <w:tcW w:w="13345" w:type="dxa"/>
            <w:gridSpan w:val="15"/>
            <w:noWrap w:val="0"/>
            <w:vAlign w:val="top"/>
          </w:tcPr>
          <w:p>
            <w:pPr>
              <w:pStyle w:val="4"/>
              <w:spacing w:line="300" w:lineRule="exact"/>
              <w:ind w:firstLine="0" w:firstLineChars="0"/>
              <w:rPr>
                <w:rFonts w:hint="eastAsia" w:ascii="方正仿宋_GBK" w:eastAsia="方正仿宋_GBK"/>
                <w:sz w:val="24"/>
                <w:lang w:eastAsia="zh-CN"/>
              </w:rPr>
            </w:pPr>
            <w:r>
              <w:rPr>
                <w:rFonts w:hint="eastAsia" w:ascii="方正仿宋_GBK" w:eastAsia="方正仿宋_GBK"/>
                <w:sz w:val="24"/>
              </w:rPr>
              <w:t>1.具体措施</w:t>
            </w:r>
            <w:r>
              <w:rPr>
                <w:rFonts w:hint="eastAsia" w:ascii="方正仿宋_GBK" w:eastAsia="方正仿宋_GBK"/>
                <w:sz w:val="24"/>
                <w:lang w:eastAsia="zh-CN"/>
              </w:rPr>
              <w:t>：</w:t>
            </w:r>
          </w:p>
          <w:p>
            <w:pPr>
              <w:pStyle w:val="4"/>
              <w:spacing w:line="300" w:lineRule="exact"/>
              <w:ind w:firstLine="0" w:firstLineChars="0"/>
              <w:rPr>
                <w:rFonts w:hint="eastAsia" w:ascii="方正仿宋_GBK" w:eastAsia="方正仿宋_GBK"/>
                <w:sz w:val="24"/>
                <w:lang w:eastAsia="zh-CN"/>
              </w:rPr>
            </w:pPr>
            <w:r>
              <w:rPr>
                <w:rFonts w:hint="eastAsia" w:ascii="方正仿宋_GBK" w:eastAsia="方正仿宋_GBK"/>
                <w:sz w:val="24"/>
              </w:rPr>
              <w:t>2.取得效果（文字简练，数据详实）</w:t>
            </w:r>
            <w:r>
              <w:rPr>
                <w:rFonts w:hint="eastAsia" w:ascii="方正仿宋_GBK" w:eastAsia="方正仿宋_GBK"/>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00" w:type="dxa"/>
            <w:noWrap w:val="0"/>
            <w:vAlign w:val="center"/>
          </w:tcPr>
          <w:p>
            <w:pPr>
              <w:spacing w:line="300" w:lineRule="exact"/>
              <w:jc w:val="center"/>
              <w:rPr>
                <w:rFonts w:ascii="方正仿宋_GBK" w:eastAsia="方正仿宋_GBK"/>
                <w:sz w:val="24"/>
              </w:rPr>
            </w:pPr>
            <w:r>
              <w:rPr>
                <w:rFonts w:hint="eastAsia" w:ascii="方正仿宋_GBK" w:eastAsia="方正仿宋_GBK"/>
                <w:sz w:val="24"/>
              </w:rPr>
              <w:t>存在问题及建议</w:t>
            </w:r>
          </w:p>
        </w:tc>
        <w:tc>
          <w:tcPr>
            <w:tcW w:w="13345" w:type="dxa"/>
            <w:gridSpan w:val="15"/>
            <w:noWrap w:val="0"/>
            <w:vAlign w:val="top"/>
          </w:tcPr>
          <w:p>
            <w:pPr>
              <w:pStyle w:val="4"/>
              <w:spacing w:line="300" w:lineRule="exact"/>
              <w:ind w:firstLine="0" w:firstLineChars="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00" w:type="dxa"/>
            <w:noWrap w:val="0"/>
            <w:vAlign w:val="center"/>
          </w:tcPr>
          <w:p>
            <w:pPr>
              <w:spacing w:line="300" w:lineRule="exact"/>
              <w:jc w:val="center"/>
              <w:rPr>
                <w:rFonts w:ascii="方正仿宋_GBK" w:eastAsia="方正仿宋_GBK"/>
                <w:sz w:val="24"/>
              </w:rPr>
            </w:pPr>
            <w:r>
              <w:rPr>
                <w:rFonts w:hint="eastAsia" w:ascii="方正仿宋_GBK" w:eastAsia="方正仿宋_GBK"/>
                <w:sz w:val="24"/>
              </w:rPr>
              <w:t>下一年工作计划</w:t>
            </w:r>
          </w:p>
        </w:tc>
        <w:tc>
          <w:tcPr>
            <w:tcW w:w="13345" w:type="dxa"/>
            <w:gridSpan w:val="15"/>
            <w:noWrap w:val="0"/>
            <w:vAlign w:val="top"/>
          </w:tcPr>
          <w:p>
            <w:pPr>
              <w:pStyle w:val="4"/>
              <w:spacing w:line="300" w:lineRule="exact"/>
              <w:ind w:firstLine="0" w:firstLineChars="0"/>
              <w:rPr>
                <w:rFonts w:ascii="方正仿宋_GBK" w:eastAsia="方正仿宋_GBK"/>
                <w:sz w:val="24"/>
              </w:rPr>
            </w:pPr>
          </w:p>
        </w:tc>
      </w:tr>
    </w:tbl>
    <w:p>
      <w:pPr>
        <w:jc w:val="both"/>
        <w:rPr>
          <w:rFonts w:hint="default" w:ascii="Times New Roman" w:hAnsi="Times New Roman" w:eastAsia="方正小标宋简体" w:cs="Times New Roman"/>
          <w:spacing w:val="-1"/>
          <w:kern w:val="2"/>
          <w:sz w:val="36"/>
          <w:szCs w:val="36"/>
          <w:lang w:val="en-US" w:eastAsia="zh-CN" w:bidi="ar-SA"/>
        </w:rPr>
        <w:sectPr>
          <w:footerReference r:id="rId4" w:type="default"/>
          <w:footerReference r:id="rId5" w:type="even"/>
          <w:pgSz w:w="16838" w:h="11906" w:orient="landscape"/>
          <w:pgMar w:top="1587" w:right="2098" w:bottom="1474" w:left="1985" w:header="851" w:footer="1077" w:gutter="0"/>
          <w:pgNumType w:fmt="numberInDash"/>
          <w:cols w:space="720" w:num="1"/>
          <w:rtlGutter w:val="0"/>
          <w:docGrid w:type="linesAndChars" w:linePitch="579" w:charSpace="-3633"/>
        </w:sectPr>
      </w:pPr>
      <w:bookmarkStart w:id="10" w:name="_GoBack"/>
      <w:bookmarkEnd w:id="10"/>
    </w:p>
    <w:p/>
    <w:sectPr>
      <w:footerReference r:id="rId6" w:type="default"/>
      <w:footerReference r:id="rId7" w:type="even"/>
      <w:pgSz w:w="11906" w:h="16838"/>
      <w:pgMar w:top="2098" w:right="1474" w:bottom="1984" w:left="1587" w:header="851" w:footer="1587" w:gutter="0"/>
      <w:pgNumType w:fmt="numberInDash"/>
      <w:cols w:space="720" w:num="1"/>
      <w:rtlGutter w:val="0"/>
      <w:docGrid w:type="linesAndChars" w:linePitch="579"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Q5sd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EtDmx3gEAAL4DAAAOAAAAAAAA&#10;AAEAIAAAAB4BAABkcnMvZTJvRG9jLnhtbFBLBQYAAAAABgAGAFkBAABu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line="280" w:lineRule="exact"/>
                            <w:jc w:val="center"/>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p>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fB6d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bXnDlhaeDn79/OP36df35l&#10;y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GN8Hp3gEAAL4DAAAOAAAAAAAA&#10;AAEAIAAAAB4BAABkcnMvZTJvRG9jLnhtbFBLBQYAAAAABgAGAFkBAABuBQAAAAA=&#10;">
              <v:fill on="f" focussize="0,0"/>
              <v:stroke on="f"/>
              <v:imagedata o:title=""/>
              <o:lock v:ext="edit" aspectratio="f"/>
              <v:textbox inset="0mm,0mm,0mm,0mm" style="mso-fit-shape-to-text:t;">
                <w:txbxContent>
                  <w:p>
                    <w:pPr>
                      <w:pStyle w:val="5"/>
                      <w:spacing w:line="280" w:lineRule="exact"/>
                      <w:jc w:val="center"/>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Geit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S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kZ6K3gEAAL4DAAAOAAAAAAAA&#10;AAEAIAAAAB4BAABkcnMvZTJvRG9jLnhtbFBLBQYAAAAABgAGAFkBAABu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96"/>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9D7EC374"/>
    <w:rsid w:val="30180653"/>
    <w:rsid w:val="3424140C"/>
    <w:rsid w:val="37B58DF4"/>
    <w:rsid w:val="3F7D7813"/>
    <w:rsid w:val="4FF34D28"/>
    <w:rsid w:val="5ABE9EDF"/>
    <w:rsid w:val="6FB74B84"/>
    <w:rsid w:val="77D590BF"/>
    <w:rsid w:val="7DEF984D"/>
    <w:rsid w:val="7F7F2F5E"/>
    <w:rsid w:val="7FBDEDC8"/>
    <w:rsid w:val="7FEEA5BF"/>
    <w:rsid w:val="9D7EC374"/>
    <w:rsid w:val="AF7BBA7D"/>
    <w:rsid w:val="BF9DE973"/>
    <w:rsid w:val="E6B72977"/>
    <w:rsid w:val="EB6FE823"/>
    <w:rsid w:val="F6A3823D"/>
    <w:rsid w:val="FBD85E57"/>
    <w:rsid w:val="FEFEC547"/>
    <w:rsid w:val="FFF938E6"/>
    <w:rsid w:val="FFFF5F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envelope return"/>
    <w:basedOn w:val="1"/>
    <w:unhideWhenUsed/>
    <w:qFormat/>
    <w:uiPriority w:val="99"/>
    <w:pPr>
      <w:snapToGrid w:val="0"/>
    </w:pPr>
    <w:rPr>
      <w:rFonts w:ascii="Arial" w:hAnsi="Arial"/>
    </w:rPr>
  </w:style>
  <w:style w:type="paragraph" w:styleId="7">
    <w:name w:val="Normal (Web)"/>
    <w:basedOn w:val="1"/>
    <w:unhideWhenUsed/>
    <w:qFormat/>
    <w:uiPriority w:val="99"/>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Body text|1"/>
    <w:basedOn w:val="1"/>
    <w:qFormat/>
    <w:uiPriority w:val="0"/>
    <w:pPr>
      <w:spacing w:line="480" w:lineRule="auto"/>
      <w:ind w:firstLine="400"/>
    </w:pPr>
    <w:rPr>
      <w:rFonts w:ascii="宋体" w:hAnsi="宋体" w:eastAsia="宋体" w:cs="宋体"/>
      <w:sz w:val="20"/>
      <w:szCs w:val="20"/>
      <w:lang w:val="zh-CN" w:bidi="zh-CN"/>
    </w:rPr>
  </w:style>
  <w:style w:type="character" w:customStyle="1" w:styleId="13">
    <w:name w:val="font21"/>
    <w:basedOn w:val="10"/>
    <w:qFormat/>
    <w:uiPriority w:val="0"/>
    <w:rPr>
      <w:rFonts w:hint="eastAsia" w:ascii="仿宋" w:hAnsi="仿宋" w:eastAsia="仿宋" w:cs="仿宋"/>
      <w:color w:val="000000"/>
      <w:sz w:val="21"/>
      <w:szCs w:val="21"/>
      <w:u w:val="none"/>
    </w:rPr>
  </w:style>
  <w:style w:type="character" w:customStyle="1" w:styleId="14">
    <w:name w:val="font01"/>
    <w:basedOn w:val="10"/>
    <w:qFormat/>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5425</Words>
  <Characters>5645</Characters>
  <Lines>0</Lines>
  <Paragraphs>0</Paragraphs>
  <TotalTime>45</TotalTime>
  <ScaleCrop>false</ScaleCrop>
  <LinksUpToDate>false</LinksUpToDate>
  <CharactersWithSpaces>5889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2022-05-22T02:37:00Z</dcterms:created>
  <dc:creator>高振山</dc:creator>
  <cp:lastModifiedBy>Administrator</cp:lastModifiedBy>
  <dcterms:modified xsi:type="dcterms:W3CDTF">2022-05-25T01:34:47Z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4B909A2F6EDF48788C1482E22FEC4EE1</vt:lpwstr>
  </property>
</Properties>
</file>