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b/>
          <w:spacing w:val="4"/>
          <w:sz w:val="44"/>
          <w:szCs w:val="44"/>
        </w:rPr>
      </w:pPr>
      <w:r>
        <w:rPr>
          <w:rFonts w:hint="eastAsia" w:ascii="方正小标宋_GBK" w:eastAsia="方正小标宋_GBK"/>
          <w:b/>
          <w:sz w:val="44"/>
          <w:szCs w:val="44"/>
        </w:rPr>
        <w:t>天津市滨海新区大港医院党委关于四届</w:t>
      </w:r>
      <w:r>
        <w:rPr>
          <w:rFonts w:hint="eastAsia" w:ascii="方正小标宋_GBK" w:eastAsia="方正小标宋_GBK"/>
          <w:b/>
          <w:spacing w:val="4"/>
          <w:sz w:val="44"/>
          <w:szCs w:val="44"/>
        </w:rPr>
        <w:t>区委第三轮巡察</w:t>
      </w:r>
      <w:r>
        <w:rPr>
          <w:rFonts w:hint="eastAsia" w:ascii="方正小标宋_GBK" w:eastAsia="方正小标宋_GBK"/>
          <w:b/>
          <w:sz w:val="44"/>
          <w:szCs w:val="44"/>
        </w:rPr>
        <w:t>集中整改进展</w:t>
      </w:r>
      <w:r>
        <w:rPr>
          <w:rFonts w:hint="eastAsia" w:ascii="方正小标宋_GBK" w:eastAsia="方正小标宋_GBK"/>
          <w:b/>
          <w:spacing w:val="8"/>
          <w:sz w:val="44"/>
          <w:szCs w:val="44"/>
        </w:rPr>
        <w:t>情况的通报</w:t>
      </w:r>
    </w:p>
    <w:p>
      <w:pPr>
        <w:spacing w:line="400" w:lineRule="exact"/>
        <w:jc w:val="center"/>
        <w:rPr>
          <w:rFonts w:ascii="方正仿宋_GBK" w:eastAsia="方正仿宋_GBK"/>
          <w:b/>
          <w:spacing w:val="8"/>
          <w:sz w:val="32"/>
          <w:szCs w:val="32"/>
        </w:rPr>
      </w:pPr>
    </w:p>
    <w:p>
      <w:pPr>
        <w:snapToGrid w:val="0"/>
        <w:spacing w:line="540" w:lineRule="exact"/>
        <w:ind w:firstLine="743"/>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按照区委巡察工作统一部署，</w:t>
      </w:r>
      <w:r>
        <w:rPr>
          <w:rFonts w:ascii="方正仿宋_GBK" w:hAnsi="方正仿宋_GBK" w:eastAsia="方正仿宋_GBK" w:cs="方正仿宋_GBK"/>
          <w:b/>
          <w:sz w:val="32"/>
          <w:szCs w:val="32"/>
        </w:rPr>
        <w:t>202</w:t>
      </w:r>
      <w:r>
        <w:rPr>
          <w:rFonts w:hint="eastAsia" w:ascii="方正仿宋_GBK" w:hAnsi="方正仿宋_GBK" w:eastAsia="方正仿宋_GBK" w:cs="方正仿宋_GBK"/>
          <w:b/>
          <w:sz w:val="32"/>
          <w:szCs w:val="32"/>
        </w:rPr>
        <w:t>2年12月6日至2023年2月10日，区委巡察五组对大港医院党委开展了常规巡察，并于2023年3月16日反馈了巡察意见。按照巡察工作有关要求，现将巡察集中整改进展情况予以公布。</w:t>
      </w:r>
    </w:p>
    <w:p>
      <w:pPr>
        <w:pStyle w:val="15"/>
        <w:numPr>
          <w:ilvl w:val="0"/>
          <w:numId w:val="1"/>
        </w:numPr>
        <w:snapToGrid w:val="0"/>
        <w:spacing w:line="540" w:lineRule="exact"/>
        <w:ind w:firstLineChars="0"/>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组织落实巡察整改情况</w:t>
      </w:r>
    </w:p>
    <w:p>
      <w:pPr>
        <w:snapToGrid w:val="0"/>
        <w:spacing w:line="540" w:lineRule="exact"/>
        <w:ind w:firstLine="743"/>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大港医院党委坚持以习近平新时代中国特色社会主义思想为指导，坚持问题导向，切实落实整改主体责任，成立巡察整改工作领导小组，制定了《大港医院关于落实四届区委第三轮巡察反馈意见的整改方案》，召开巡察整改工作汇报会、党委会专题部署、研究整改工作，定期听取整改情况汇报、及时解决突出问题，统筹推进巡察整改工作。按照《大港医院党委巡察整改工作台账》逐项制定整改落实举措，把整改事项落实到责任领导、责任科室和具体责任人，形成以上促下、联动贯通，上下联动、齐抓共管的工作格局，全面提升日常监督效能，确保巡察整改落地见效。</w:t>
      </w:r>
    </w:p>
    <w:p>
      <w:pPr>
        <w:snapToGrid w:val="0"/>
        <w:spacing w:line="540" w:lineRule="exact"/>
        <w:ind w:firstLine="743"/>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二、反馈问题整改落实情况</w:t>
      </w:r>
    </w:p>
    <w:p>
      <w:pPr>
        <w:pStyle w:val="4"/>
        <w:spacing w:line="540" w:lineRule="exact"/>
        <w:ind w:firstLine="640"/>
        <w:rPr>
          <w:rFonts w:ascii="方正仿宋_GBK" w:hAnsi="方正仿宋_GBK" w:eastAsia="方正仿宋_GBK" w:cs="方正仿宋_GBK"/>
          <w:b/>
          <w:color w:val="000000"/>
          <w:kern w:val="0"/>
          <w:sz w:val="32"/>
          <w:szCs w:val="32"/>
        </w:rPr>
      </w:pPr>
      <w:r>
        <w:rPr>
          <w:rFonts w:hint="eastAsia" w:ascii="方正仿宋_GBK" w:hAnsi="方正仿宋_GBK" w:eastAsia="方正仿宋_GBK" w:cs="方正仿宋_GBK"/>
          <w:b/>
          <w:color w:val="000000"/>
          <w:kern w:val="0"/>
          <w:sz w:val="32"/>
          <w:szCs w:val="32"/>
        </w:rPr>
        <w:t>大港医院党委严格按照区委巡察反馈指出的问题和意见建议，逐一落细落实，既全面抓好每项整改任务，又扭住最关键最要害的问题深化整改，切实推动问题整改落地见效。</w:t>
      </w:r>
    </w:p>
    <w:p>
      <w:pPr>
        <w:ind w:firstLine="643" w:firstLineChars="200"/>
        <w:rPr>
          <w:rFonts w:ascii="方正仿宋_GBK" w:eastAsia="方正仿宋_GBK"/>
          <w:b/>
          <w:bCs/>
          <w:sz w:val="32"/>
          <w:szCs w:val="32"/>
        </w:rPr>
      </w:pPr>
      <w:r>
        <w:rPr>
          <w:rFonts w:hint="eastAsia" w:ascii="方正仿宋_GBK" w:hAnsi="方正仿宋_GBK" w:eastAsia="方正仿宋_GBK" w:cs="方正仿宋_GBK"/>
          <w:b/>
          <w:sz w:val="32"/>
          <w:szCs w:val="32"/>
        </w:rPr>
        <w:t>（一）关于落实党中央和市委、区委决策部署不</w:t>
      </w:r>
      <w:r>
        <w:rPr>
          <w:rFonts w:hint="eastAsia" w:ascii="方正仿宋_GBK" w:eastAsia="方正仿宋_GBK"/>
          <w:b/>
          <w:bCs/>
          <w:sz w:val="32"/>
          <w:szCs w:val="32"/>
        </w:rPr>
        <w:t>够到位，医院高质量发展存在较大差距问题的整改情况</w:t>
      </w:r>
    </w:p>
    <w:p>
      <w:pPr>
        <w:ind w:firstLine="645"/>
        <w:rPr>
          <w:rFonts w:ascii="方正仿宋_GBK" w:eastAsia="方正仿宋_GBK"/>
          <w:b/>
          <w:bCs/>
          <w:color w:val="auto"/>
          <w:sz w:val="32"/>
          <w:szCs w:val="32"/>
        </w:rPr>
      </w:pPr>
      <w:r>
        <w:rPr>
          <w:rFonts w:hint="eastAsia" w:ascii="方正仿宋_GBK" w:eastAsia="方正仿宋_GBK"/>
          <w:b/>
          <w:bCs/>
          <w:sz w:val="32"/>
          <w:szCs w:val="32"/>
        </w:rPr>
        <w:t>（1）针对学习贯彻习近平总书记重要讲话和指示批示精神</w:t>
      </w:r>
      <w:r>
        <w:rPr>
          <w:rFonts w:hint="eastAsia" w:ascii="方正仿宋_GBK" w:eastAsia="方正仿宋_GBK"/>
          <w:b/>
          <w:bCs/>
          <w:color w:val="auto"/>
          <w:sz w:val="32"/>
          <w:szCs w:val="32"/>
        </w:rPr>
        <w:t>不深入的问题，提高政治站位，强化思想认识，坚持用习近平新时代中国特色社会主义思想武装头脑、指导实践、推动工作。</w:t>
      </w:r>
    </w:p>
    <w:p>
      <w:pPr>
        <w:spacing w:line="580" w:lineRule="exact"/>
        <w:ind w:firstLine="645"/>
        <w:rPr>
          <w:rFonts w:ascii="方正仿宋_GBK" w:eastAsia="方正仿宋_GBK"/>
          <w:b/>
          <w:bCs/>
          <w:color w:val="auto"/>
          <w:sz w:val="32"/>
          <w:szCs w:val="32"/>
        </w:rPr>
      </w:pPr>
      <w:r>
        <w:rPr>
          <w:rFonts w:hint="eastAsia" w:ascii="方正仿宋_GBK" w:hAnsi="楷体_GB2312" w:eastAsia="方正仿宋_GBK" w:cs="楷体_GB2312"/>
          <w:b/>
          <w:color w:val="auto"/>
          <w:sz w:val="32"/>
          <w:szCs w:val="32"/>
        </w:rPr>
        <w:t>一是</w:t>
      </w:r>
      <w:r>
        <w:rPr>
          <w:rFonts w:hint="eastAsia" w:ascii="方正仿宋_GBK" w:eastAsia="方正仿宋_GBK"/>
          <w:b/>
          <w:bCs/>
          <w:color w:val="auto"/>
          <w:sz w:val="32"/>
          <w:szCs w:val="32"/>
        </w:rPr>
        <w:t>加强政治理论学习。落实“第一议题”制度，增强主动学习意识，深入贯彻落实党中央决策部署、市区委重点工作安排和区卫健委各项工作部署，及时传达上级会议精神，根据工作实际，进行研究部署，不断提升党委会决策质量。研究落实中办《关于加强公立医院党的建设工作的意见》和国办《关于推动公立医院高质量发展的意见》，深入学习传达落实回避规定、保密工作、安全生产等文件精神，研究通过开展重点领域和关键岗位廉政风险点排查及防控工作实施方案，梳理廉政风险点和防控措施。</w:t>
      </w:r>
    </w:p>
    <w:p>
      <w:pPr>
        <w:spacing w:line="580" w:lineRule="exact"/>
        <w:ind w:firstLine="645"/>
        <w:rPr>
          <w:rFonts w:ascii="方正仿宋_GBK" w:eastAsia="方正仿宋_GBK"/>
          <w:b/>
          <w:bCs/>
          <w:color w:val="auto"/>
          <w:sz w:val="32"/>
          <w:szCs w:val="32"/>
        </w:rPr>
      </w:pPr>
      <w:r>
        <w:rPr>
          <w:rFonts w:hint="eastAsia" w:ascii="方正仿宋_GBK" w:eastAsia="方正仿宋_GBK"/>
          <w:b/>
          <w:bCs/>
          <w:color w:val="auto"/>
          <w:sz w:val="32"/>
          <w:szCs w:val="32"/>
        </w:rPr>
        <w:t>二是严格执行上级决策部署。按照上级对医院高质量发展的要求，结合本院实际，科学谋划，精准定位，明确任务，压实责任，制定医院“十四五”规划。党委切实提升科学决策能力，敢于担当、真抓实干，把每项工作抓牢、抓实，主动深入改革发展一线，加快推进二期工程建设等重点工作。</w:t>
      </w:r>
    </w:p>
    <w:p>
      <w:pPr>
        <w:spacing w:line="580" w:lineRule="exact"/>
        <w:ind w:firstLine="645"/>
        <w:rPr>
          <w:rFonts w:ascii="方正仿宋_GBK" w:eastAsia="方正仿宋_GBK"/>
          <w:b/>
          <w:bCs/>
          <w:color w:val="auto"/>
          <w:sz w:val="32"/>
          <w:szCs w:val="32"/>
        </w:rPr>
      </w:pPr>
      <w:r>
        <w:rPr>
          <w:rFonts w:hint="eastAsia" w:ascii="方正仿宋_GBK" w:eastAsia="方正仿宋_GBK"/>
          <w:b/>
          <w:bCs/>
          <w:color w:val="auto"/>
          <w:sz w:val="32"/>
          <w:szCs w:val="32"/>
        </w:rPr>
        <w:t>三是强化宗旨意识。认真落实各项规章制度，加强人员培训及日常监督管理，加大内部考核力度，切实提高服务能力。不断提高为民服务便利化水平，调试开通津医保APP、支付宝APP网上挂号。更新、增添新型自助机。筹备开通互联网医院，包含线上问诊咨询、线上健康管理、线上药品供应等医疗服务内容，已列入今年新区信息化建设规划。</w:t>
      </w:r>
    </w:p>
    <w:p>
      <w:pPr>
        <w:ind w:firstLine="645"/>
        <w:rPr>
          <w:rFonts w:ascii="方正仿宋_GBK" w:eastAsia="方正仿宋_GBK"/>
          <w:b/>
          <w:bCs/>
          <w:color w:val="auto"/>
          <w:sz w:val="32"/>
          <w:szCs w:val="32"/>
        </w:rPr>
      </w:pPr>
      <w:r>
        <w:rPr>
          <w:rFonts w:hint="eastAsia" w:ascii="方正仿宋_GBK" w:eastAsia="方正仿宋_GBK"/>
          <w:b/>
          <w:bCs/>
          <w:color w:val="auto"/>
          <w:sz w:val="32"/>
          <w:szCs w:val="32"/>
        </w:rPr>
        <w:t>（2）针对推进公立医院改革与发展成效不明显的问题，突出医院改革重点项目和关键环节，着力提升医疗服务质量和水平，进一步提高公立医院改革成效。</w:t>
      </w:r>
    </w:p>
    <w:p>
      <w:pPr>
        <w:spacing w:line="580" w:lineRule="exact"/>
        <w:ind w:firstLine="645"/>
        <w:rPr>
          <w:rFonts w:ascii="方正仿宋_GBK" w:eastAsia="方正仿宋_GBK"/>
          <w:b/>
          <w:bCs/>
          <w:color w:val="auto"/>
          <w:sz w:val="32"/>
          <w:szCs w:val="32"/>
        </w:rPr>
      </w:pPr>
      <w:r>
        <w:rPr>
          <w:rFonts w:hint="eastAsia" w:ascii="方正仿宋_GBK" w:eastAsia="方正仿宋_GBK"/>
          <w:b/>
          <w:bCs/>
          <w:color w:val="auto"/>
          <w:sz w:val="32"/>
          <w:szCs w:val="32"/>
        </w:rPr>
        <w:t>一是加强医院管理。制定人才引进方案，计划引进6名学科带头人、技术骨干4人、博士研究生1-2人。推进</w:t>
      </w:r>
      <w:r>
        <w:rPr>
          <w:rFonts w:hint="eastAsia" w:ascii="方正仿宋_GBK" w:eastAsia="方正仿宋_GBK"/>
          <w:b/>
          <w:bCs/>
          <w:sz w:val="32"/>
          <w:szCs w:val="32"/>
        </w:rPr>
        <w:t>与天津市人民医院等大型医院的合作建设，重点提升以急诊急救为核心的心脑血管、创伤、重症等核心专科能力，带动胸痛、卒中、创伤三个中心建设。发展肛肠、泌尿、骨病、妇产等优势专科，夯实麻醉、影像、病理和检验等支撑专科基础。推进临床重点专科分层分类建设，3年内建设不少于3个区级临床重点专科，以专科发展带动诊疗能力提升，建成南部片区有专业特色的区域医疗中心。充分发</w:t>
      </w:r>
      <w:r>
        <w:rPr>
          <w:rFonts w:hint="eastAsia" w:ascii="方正仿宋_GBK" w:eastAsia="方正仿宋_GBK"/>
          <w:b/>
          <w:bCs/>
          <w:color w:val="auto"/>
          <w:sz w:val="32"/>
          <w:szCs w:val="32"/>
        </w:rPr>
        <w:t>挥医院质量和安全管理委员会的职能，加强危重病人、疑难病人、特殊身份病人的重点监控，以问题为导向查找质量和工作缺陷，持续改进医疗质量，确保医疗安全。</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二是发</w:t>
      </w:r>
      <w:r>
        <w:rPr>
          <w:rFonts w:hint="eastAsia" w:ascii="方正仿宋_GBK" w:eastAsia="方正仿宋_GBK"/>
          <w:b/>
          <w:bCs/>
          <w:color w:val="auto"/>
          <w:sz w:val="32"/>
          <w:szCs w:val="32"/>
        </w:rPr>
        <w:t>挥公益服务作用。按照滨海新区卫生健康委紧密型城市医疗集团的网格化建设布局，筹备建设滨海新区南部城区医疗集团。选派医院的专业技术骨干进基层开展对口帮扶工作，通过门诊坐诊、教学查房、病案讨论、远程会诊、学术讲座、接收进修学习等形式培训基层医务人员，实现医疗集团成员单位间人才技术的双向流动，提高基层整体服务能力。定期举</w:t>
      </w:r>
      <w:r>
        <w:rPr>
          <w:rFonts w:hint="eastAsia" w:ascii="方正仿宋_GBK" w:eastAsia="方正仿宋_GBK"/>
          <w:b/>
          <w:bCs/>
          <w:sz w:val="32"/>
          <w:szCs w:val="32"/>
        </w:rPr>
        <w:t>办下乡义诊宣教活动，建设远程医疗、检验、心电、影像、病理、消毒供应等“医疗资源共享中心”，实现“基层检查、上级诊断、双向转诊、急慢分治”的分级诊疗秩序。以医疗服务需求为导向，构建互联互通、运转高效的医疗服务网络，为南部区域居民提供疾病预防、诊断、治疗、营养、康复、护理、健康管理等一体化、连续性医疗卫生服务。</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三是严格依法执业。成立依法执业领导小组，组织依法执业培训，定期组织全院自查。修订大港医院权责清单。认真落实十八项核心制度。建立对临床科室的巡查机制，做好日常监督管理。</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四是管理质量持续改进。调整医院质量与安全管理委员会，督促各相关委员会规范管理、定期开展工作。加强绩效考核管理，成立绩效考核办公室，每月组织联席会审核各部门考核情况，由各职能部门落实整改。根据《天津市滨海新区大港医院人员绩效考核办法》落实奖惩，确保各项工作改进有成效。</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（3）针对审计反馈问题整改落实不到位的问题，充分认识审计工作的重要性、必要性、严肃性和紧迫性，主动认领、照单全收，确保高标准、高质量完成整改任务。</w:t>
      </w:r>
    </w:p>
    <w:p>
      <w:pPr>
        <w:ind w:firstLine="645"/>
        <w:rPr>
          <w:rFonts w:ascii="方正仿宋_GBK" w:eastAsia="方正仿宋_GBK"/>
          <w:b/>
          <w:bCs/>
          <w:sz w:val="32"/>
          <w:szCs w:val="32"/>
        </w:rPr>
      </w:pPr>
      <w:r>
        <w:rPr>
          <w:rFonts w:hint="eastAsia" w:ascii="方正仿宋_GBK" w:eastAsia="方正仿宋_GBK"/>
          <w:b/>
          <w:bCs/>
          <w:color w:val="auto"/>
          <w:sz w:val="32"/>
          <w:szCs w:val="32"/>
        </w:rPr>
        <w:t>落实整改责任。严格落实固定资产盘点制度，</w:t>
      </w:r>
      <w:r>
        <w:rPr>
          <w:rFonts w:hint="eastAsia" w:ascii="方正仿宋_GBK" w:eastAsia="方正仿宋_GBK"/>
          <w:b/>
          <w:bCs/>
          <w:sz w:val="32"/>
          <w:szCs w:val="32"/>
        </w:rPr>
        <w:t>对全院固定资产进行盘点清查，形成盘点报告。明确专人负责货币资金、药品、物资等资产盘点工作，指定专人负责定期抽查，形成全院资产年度盘点报告。推进实施外部审计，聘请外部审计机构，对2022年财务收支情况进行专项审计。加强内部审计监督，组织开展内部审计。对2022年医用设备的购置以及购买服务进行专项审计并形成专项审计报告。</w:t>
      </w:r>
    </w:p>
    <w:p>
      <w:pPr>
        <w:ind w:firstLine="645"/>
        <w:rPr>
          <w:rFonts w:ascii="方正仿宋_GBK" w:eastAsia="方正仿宋_GBK"/>
          <w:b/>
          <w:bCs/>
          <w:sz w:val="32"/>
          <w:szCs w:val="32"/>
        </w:rPr>
      </w:pPr>
      <w:r>
        <w:rPr>
          <w:rFonts w:hint="eastAsia" w:ascii="方正仿宋_GBK" w:eastAsia="方正仿宋_GBK"/>
          <w:b/>
          <w:bCs/>
          <w:sz w:val="32"/>
          <w:szCs w:val="32"/>
        </w:rPr>
        <w:t>（二）关于落实全面从严治党责任不够严实问题的整改情况</w:t>
      </w:r>
    </w:p>
    <w:p>
      <w:pPr>
        <w:pStyle w:val="7"/>
        <w:shd w:val="clear" w:color="auto" w:fill="FFFFFF"/>
        <w:spacing w:before="0" w:beforeAutospacing="0" w:after="0" w:afterAutospacing="0"/>
        <w:ind w:firstLine="480"/>
        <w:jc w:val="both"/>
        <w:rPr>
          <w:rFonts w:ascii="方正仿宋_GBK" w:hAnsi="Calibri" w:eastAsia="方正仿宋_GBK" w:cs="Calibri"/>
          <w:b/>
          <w:bCs/>
          <w:color w:val="000000"/>
          <w:sz w:val="32"/>
          <w:szCs w:val="32"/>
        </w:rPr>
      </w:pPr>
      <w:r>
        <w:rPr>
          <w:rFonts w:hint="eastAsia" w:ascii="方正仿宋_GBK" w:hAnsi="Calibri" w:eastAsia="方正仿宋_GBK" w:cs="Calibri"/>
          <w:b/>
          <w:bCs/>
          <w:color w:val="000000"/>
          <w:sz w:val="32"/>
          <w:szCs w:val="32"/>
        </w:rPr>
        <w:t>（1）关于“‘一把手’头雁作用发挥不够”问题，充分发挥“头雁”作用，坚持以上率下，认真谋划落实工作举措，强化党建引领推动各项工作高质量发展。</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发挥头雁引领作用。团结领导班子成员，结合医院实际，集体研究确定医院工作思路，明确医院发展目标，制定“服务提升年”工作方案，为提升医院服务质量提供思想政治保障。每月至少深入临床一线调研一次，认真听取意见建议，帮助解决实际问题，凝聚党员群众磅礴力量。发挥“一把手”头雁作用，与班子成员经常开展谈心交流，以问题为导向，聚焦医院发展重点难点问题，分析问题产生原因，及时整改落实，增强班子凝聚力，战斗力。解放思想、深入思考，制定医院长远发展规划，攻坚克难，锐意进取，推动医院高质量发展。</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（2）关于“全面从严治党‘两个责任’落实有差距”问题，落实全面从严治党“两个责任”，始终把纪律规矩挺在前面，不断把全面从严治党引向深入。</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一是压实主体责任。深入学习习近平总书记关于全面从严治党重要论述，提高对全面从严治党工作的高度认识。结合医院工作实际，党委会专题研究制定全面从严治党重点目标任务和工作举措。党委主要负责同志和班子成员结合自身实际制定个人清单，将“两个清单”按照责任分工及时完成整改任务。强化党纪党规教育。加强对党员中层干部的党内法律法规宣传、学习和教育。开展医疗专业法律法规和《医疗机构工作人员廉洁从业九项准则》等培训。院党委履行主体责任，对于群众实名举报问题，及时调查、研究、解决，避免造成矛盾不断升级。</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二是强化监督责任。院党委召开党员大会选举产生了新一届医院纪律检查委员会委员。制定《大港医院廉政风险防控制度》，在全院尤其是针对重点领域、关键岗位开展廉政风险点排查工作，并对重点岗位开展廉政提醒。</w:t>
      </w:r>
    </w:p>
    <w:p>
      <w:pPr>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（3）关于“廉政风险防控有漏洞”问题，持续压实从严管党治党的主体责任，突出对重点领域和关键环节监管，将廉政风险防控意识内化于心，外化于行。</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一是防范廉政风险隐患。规范使用车辆，制定血站取血管理规定及工作流程。</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二是加强廉洁制度约束。落实医德医风责任，制定外请专家、医师外出会诊管理办法，定期检查。</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三是加强“小金库”治理。修订《“小金库”问题专项治理工作方案》，召开专题培训，签订责任书，不定期进行“小金库”检查。</w:t>
      </w:r>
    </w:p>
    <w:p>
      <w:pPr>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（4）关于“招标采购存在风险”问题，从严压实管党治党责任，加强招投标和项目资金管理，锲而不舍正风肃纪，一体推进“三不腐”。</w:t>
      </w:r>
    </w:p>
    <w:p>
      <w:pPr>
        <w:spacing w:line="580" w:lineRule="exact"/>
        <w:ind w:firstLine="645"/>
        <w:rPr>
          <w:rFonts w:ascii="方正仿宋_GBK" w:hAnsi="方正仿宋_GBK" w:eastAsia="方正仿宋_GBK" w:cs="方正仿宋_GBK"/>
          <w:b/>
          <w:color w:val="auto"/>
          <w:spacing w:val="8"/>
          <w:sz w:val="32"/>
          <w:szCs w:val="32"/>
          <w:highlight w:val="none"/>
        </w:rPr>
      </w:pPr>
      <w:r>
        <w:rPr>
          <w:rFonts w:hint="eastAsia" w:ascii="方正仿宋_GBK" w:hAnsi="方正仿宋_GBK" w:eastAsia="方正仿宋_GBK" w:cs="方正仿宋_GBK"/>
          <w:b/>
          <w:color w:val="auto"/>
          <w:spacing w:val="8"/>
          <w:sz w:val="32"/>
          <w:szCs w:val="32"/>
          <w:highlight w:val="none"/>
        </w:rPr>
        <w:t>一是严肃招标纪律。认真学习招投标法的有关规定，完善招标制度，加强流程审核，强化数据管理，确保招标活动的透明度。</w:t>
      </w:r>
    </w:p>
    <w:p>
      <w:pPr>
        <w:spacing w:line="580" w:lineRule="exact"/>
        <w:ind w:firstLine="645"/>
        <w:rPr>
          <w:rFonts w:ascii="方正仿宋_GBK" w:hAnsi="方正仿宋_GBK" w:eastAsia="方正仿宋_GBK" w:cs="方正仿宋_GBK"/>
          <w:b/>
          <w:color w:val="auto"/>
          <w:spacing w:val="8"/>
          <w:sz w:val="32"/>
          <w:szCs w:val="32"/>
          <w:highlight w:val="none"/>
        </w:rPr>
      </w:pPr>
      <w:r>
        <w:rPr>
          <w:rFonts w:hint="eastAsia" w:ascii="方正仿宋_GBK" w:hAnsi="方正仿宋_GBK" w:eastAsia="方正仿宋_GBK" w:cs="方正仿宋_GBK"/>
          <w:b/>
          <w:color w:val="auto"/>
          <w:spacing w:val="8"/>
          <w:sz w:val="32"/>
          <w:szCs w:val="32"/>
          <w:highlight w:val="none"/>
        </w:rPr>
        <w:t>二是严格招标管理。完善招标制度，规范招标流程，修订内部采购制度，严格招标流程审核监督。</w:t>
      </w:r>
    </w:p>
    <w:p>
      <w:pPr>
        <w:spacing w:line="580" w:lineRule="exact"/>
        <w:ind w:firstLine="645"/>
        <w:rPr>
          <w:rFonts w:ascii="方正仿宋_GBK" w:hAnsi="方正仿宋_GBK" w:eastAsia="方正仿宋_GBK" w:cs="方正仿宋_GBK"/>
          <w:b/>
          <w:color w:val="auto"/>
          <w:spacing w:val="8"/>
          <w:sz w:val="32"/>
          <w:szCs w:val="32"/>
          <w:highlight w:val="none"/>
        </w:rPr>
      </w:pPr>
      <w:r>
        <w:rPr>
          <w:rFonts w:hint="eastAsia" w:ascii="方正仿宋_GBK" w:hAnsi="方正仿宋_GBK" w:eastAsia="方正仿宋_GBK" w:cs="方正仿宋_GBK"/>
          <w:b/>
          <w:color w:val="auto"/>
          <w:spacing w:val="8"/>
          <w:sz w:val="32"/>
          <w:szCs w:val="32"/>
          <w:highlight w:val="none"/>
        </w:rPr>
        <w:t>三是严防采购管理漏洞。对医用耗材的采购进行全面系统的制度设计，以分事行权、分岗设权、分级授权为主线制定从预算、申请、论证评价、招采、验收、管理的全流程管理体系。</w:t>
      </w:r>
    </w:p>
    <w:p>
      <w:pPr>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（5）针对 “落实内控制度有短板”问题，狠抓内控执行落实，注重内控成果运用，切实提高内控管理水平，有效保障各项工作平稳推进。</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一是规范合同管理。严格按照内部控制管理手册，制定医院合同管理制度，并严格遵照执行。</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二是严格执行管理制度。按照医院新引进耗材流程与管理制度，做好耗材进入医院的物价管理与医保管理。加强医保政策宣传力度，做好医保政策培训，严格执行医保相关政策。</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三是合理配置设备。结合医院的学科发展规划，加强设备准入管理和设备装机后的跟踪管理。</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四是加强国有资产管理。严格落实内控管理制度，制定废品回收制度，加强废品收入管理。</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（三）关于落实新时代党的组织路线不够深入问题的整改情况</w:t>
      </w:r>
    </w:p>
    <w:p>
      <w:pPr>
        <w:snapToGrid w:val="0"/>
        <w:spacing w:line="540" w:lineRule="exact"/>
        <w:ind w:firstLine="743"/>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（1）针对“领导班子自身建设用力不足”问题，认真履行班子成员责任，充分发挥班子的核心作用，班子成员以上率下发挥模范带头作用，大胆创新，不断提高医院管理水平。</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一是加强运行管理。学习《关于党政主要领导干部不直接分管部分工作的规定（试行）》。梳理医院工作职能，对领导班子成员重新分工，建立起副职分管、正职监管、集体领导、民主决策的权力运行工作机制。</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二是规范议事决策。深入学习党的组织工作方针等政策，规范执行议事决策规则，会前充分调查研究，提高会议质量和效率。</w:t>
      </w:r>
    </w:p>
    <w:p>
      <w:pPr>
        <w:snapToGrid w:val="0"/>
        <w:spacing w:line="540" w:lineRule="exact"/>
        <w:ind w:firstLine="743"/>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（2）针对关于“执行选人用人制度不严格”问题，严格执行新时期好干部标准，不断完善选人用人制度，规范干部选拔任用工作程序，切实提高选人用人工作科学化规范化水平。</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一是加强干部队伍建设。根据医院发展总体目标，制定学科建设和人力资源发展规划。按照区编办核定的内设机构科级干部职数，逐步选齐配强科级干部，注重从优秀年轻干部中选拔培养干部，改善老中青干部的年龄结构、知识结构。严格执行选人用人制度，做好干部队伍人才储备。加强干部队伍综合研判和统筹谋划，制定干部队伍建设整体规划，定期分析本单位干部情况，结合实际定期开展年轻干部调研。</w:t>
      </w:r>
    </w:p>
    <w:p>
      <w:pPr>
        <w:spacing w:line="580" w:lineRule="exact"/>
        <w:ind w:firstLine="645"/>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二是加强人事管理。严格落实人事管理制度和干部交流轮岗制度，对内设机构重点岗位负责人进行交流轮岗。梳理临床医技科室负责人及护士长的年龄、任职年限，采取交流轮岗、续聘、竞聘等多种方式，加强干部人事管理。</w:t>
      </w:r>
    </w:p>
    <w:p>
      <w:pPr>
        <w:snapToGrid w:val="0"/>
        <w:spacing w:line="540" w:lineRule="exact"/>
        <w:ind w:firstLine="743"/>
        <w:rPr>
          <w:rFonts w:ascii="方正仿宋_GBK" w:eastAsia="方正仿宋_GBK"/>
          <w:b/>
          <w:bCs/>
          <w:sz w:val="32"/>
          <w:szCs w:val="32"/>
        </w:rPr>
      </w:pPr>
      <w:r>
        <w:rPr>
          <w:rFonts w:hint="eastAsia" w:ascii="方正仿宋_GBK" w:eastAsia="方正仿宋_GBK"/>
          <w:b/>
          <w:bCs/>
          <w:sz w:val="32"/>
          <w:szCs w:val="32"/>
        </w:rPr>
        <w:t>（3）针对关于基层党建工作不扎实问题，增强基层党组织政治功能和组织力，紧盯重点工作和关键环节，全面规范基层党建工作、提升党建工作质量、落实医疗卫生事业根本要求，推动基层党建工作成果转化为促进医院高质量发展的强大动力。</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一是发挥党支部战斗堡垒作用。按照公立医院党建工作实施意见，科室负责人为中共党员党支部，由科室负责人担任支部书记。加强新任党支部书记培训，提高支部管理工作水平。结合支部工作实际，支部工作与业务工作职责双向进入，作用双向发挥，促进党建与业务工作双融合双促进。</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二是严格落实“三会一课”制度。聚焦班子建设督促整改，强化对“一把手</w:t>
      </w:r>
      <w:r>
        <w:rPr>
          <w:rFonts w:ascii="方正仿宋_GBK" w:eastAsia="方正仿宋_GBK"/>
          <w:b/>
          <w:bCs/>
          <w:sz w:val="32"/>
          <w:szCs w:val="32"/>
        </w:rPr>
        <w:t>”</w:t>
      </w:r>
      <w:r>
        <w:rPr>
          <w:rFonts w:hint="eastAsia" w:ascii="方正仿宋_GBK" w:eastAsia="方正仿宋_GBK"/>
          <w:b/>
          <w:bCs/>
          <w:sz w:val="32"/>
          <w:szCs w:val="32"/>
        </w:rPr>
        <w:t>的监督，督促落实巡察整改的政治责任。督促党支部落实学习计划，以落实党建工作监督考核评价体系为抓手，严格落实日常监督检查。把党的政治建设摆在首位，夯实党建基础，狠抓支部建设，加强党员干部的教育和管理，丰富主题党日活动，努力创建学习型党支部。</w:t>
      </w:r>
    </w:p>
    <w:p>
      <w:pPr>
        <w:spacing w:line="580" w:lineRule="exact"/>
        <w:ind w:firstLine="645"/>
        <w:rPr>
          <w:rFonts w:ascii="方正仿宋_GBK" w:eastAsia="方正仿宋_GBK"/>
          <w:b/>
          <w:bCs/>
          <w:color w:val="auto"/>
          <w:sz w:val="32"/>
          <w:szCs w:val="32"/>
          <w:highlight w:val="yellow"/>
        </w:rPr>
      </w:pPr>
      <w:r>
        <w:rPr>
          <w:rFonts w:hint="eastAsia" w:ascii="方正仿宋_GBK" w:eastAsia="方正仿宋_GBK"/>
          <w:b/>
          <w:bCs/>
          <w:color w:val="auto"/>
          <w:sz w:val="32"/>
          <w:szCs w:val="32"/>
        </w:rPr>
        <w:t>三是党组织充分发挥对群团工作领导作用。党委每半年听取团委、妇联工作安排汇报，及时研究解决工作中存在的问题。坚持职工代表大会制度，主动向职代会提交医院工作报告及需审议的各项管理制度等，自觉接受职工的监督。</w:t>
      </w:r>
    </w:p>
    <w:p>
      <w:pPr>
        <w:spacing w:line="580" w:lineRule="exact"/>
        <w:ind w:firstLine="645"/>
        <w:rPr>
          <w:rFonts w:ascii="方正仿宋_GBK" w:eastAsia="方正仿宋_GBK"/>
          <w:b/>
          <w:bCs/>
          <w:color w:val="auto"/>
          <w:sz w:val="32"/>
          <w:szCs w:val="32"/>
        </w:rPr>
      </w:pPr>
      <w:r>
        <w:rPr>
          <w:rFonts w:hint="eastAsia" w:ascii="方正仿宋_GBK" w:eastAsia="方正仿宋_GBK"/>
          <w:b/>
          <w:bCs/>
          <w:color w:val="auto"/>
          <w:sz w:val="32"/>
          <w:szCs w:val="32"/>
        </w:rPr>
        <w:t>三、存在的主要问题和进一步巩固深化整改成果的措施与计划安排</w:t>
      </w:r>
    </w:p>
    <w:p>
      <w:pPr>
        <w:spacing w:line="580" w:lineRule="exact"/>
        <w:ind w:firstLine="645"/>
        <w:rPr>
          <w:rFonts w:ascii="方正仿宋_GBK" w:eastAsia="方正仿宋_GBK"/>
          <w:b/>
          <w:bCs/>
          <w:color w:val="auto"/>
          <w:sz w:val="32"/>
          <w:szCs w:val="32"/>
        </w:rPr>
      </w:pPr>
      <w:r>
        <w:rPr>
          <w:rFonts w:hint="eastAsia" w:ascii="方正仿宋_GBK" w:eastAsia="方正仿宋_GBK"/>
          <w:b/>
          <w:bCs/>
          <w:color w:val="auto"/>
          <w:sz w:val="32"/>
          <w:szCs w:val="32"/>
        </w:rPr>
        <w:t>（一）存在的主要问题</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 xml:space="preserve">一是有的问题需要分期分批解决，短期内无法整改完成的问题，不断研究改进措施，确保问题解决，并长期坚持。 </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二是一些历史遗留问题，如信息化、二期工程等，时间跨度长，牵扯范围广，处理难度大。</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三是深层次问题的整改需要工作体制机制的创新和相关政策的支持。</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（二）进一步巩固深化整改成果的措施与计划安排</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我院巡察整改落实工作虽然取得了一定成效，但与全面从严治党的要求还有差距，与医院高质量发展和广大干部群众的要求期待还有差距。下一步，我们将结合深入学习贯彻党的二十大精神、学习贯彻习近平新时代中国特色社会主义思想主题教育和巡察整改工作有关要求，进一步加强党的领导、加强党的建设，更加聚焦全面从严治党，持续推进巡察问题整改，确保整改落实取得实实在在的成效。</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1.毫不松懈抓好后续整改。坚持目标不变、标准不降、力度不减，针对已整改完成的事项，认真开展“回头看”和不定期抽查，坚决防止“回潮”和“反弹”；对未完成事项紧盯不放，整改不到位决不放手；针对需要长期持续落实整改的事项，持之以恒，盯紧看牢，抓紧抓实，确保整改工作取得实效。</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2.不断健全完善长效机制。坚持用系统思维、改革办法来解决深层次问题。持续健全完善各项制度，对已经建立的制度，加强制度执行力，对制度尚不完善的，深化研讨、把握关键、抓好制度建设。建立健全解决问题、推动发展的长效机制，做到以制度管权管事管人，不断扩大整改效果。</w:t>
      </w:r>
    </w:p>
    <w:p>
      <w:pPr>
        <w:spacing w:line="580" w:lineRule="exact"/>
        <w:ind w:firstLine="645"/>
        <w:rPr>
          <w:rFonts w:ascii="方正仿宋_GBK" w:eastAsia="方正仿宋_GBK"/>
          <w:b/>
          <w:bCs/>
          <w:sz w:val="32"/>
          <w:szCs w:val="32"/>
        </w:rPr>
      </w:pPr>
      <w:r>
        <w:rPr>
          <w:rFonts w:hint="eastAsia" w:ascii="方正仿宋_GBK" w:eastAsia="方正仿宋_GBK"/>
          <w:b/>
          <w:bCs/>
          <w:sz w:val="32"/>
          <w:szCs w:val="32"/>
        </w:rPr>
        <w:t>3.以巡察整改成果推进医院高质量发展。把巡察整改工作作为推进医院各项重点工作的重要契机和动力，以“服务能力提升年”为载体，抓重点、补短板、提内涵、增效率，全面完成各项工作目标任务，切实提高服务患者能力，提升民生保障水平，为谱写新时代医院高质量发展的新篇章而不懈努力。</w:t>
      </w:r>
    </w:p>
    <w:p>
      <w:pPr>
        <w:snapToGrid w:val="0"/>
        <w:spacing w:line="560" w:lineRule="exact"/>
        <w:ind w:firstLine="643" w:firstLineChars="200"/>
        <w:rPr>
          <w:rFonts w:ascii="方正仿宋_GBK" w:eastAsia="方正仿宋_GBK"/>
          <w:b/>
          <w:bCs/>
          <w:sz w:val="32"/>
          <w:szCs w:val="32"/>
        </w:rPr>
      </w:pPr>
      <w:r>
        <w:rPr>
          <w:rFonts w:hint="eastAsia" w:ascii="方正仿宋_GBK" w:eastAsia="方正仿宋_GBK"/>
          <w:b/>
          <w:bCs/>
          <w:sz w:val="32"/>
          <w:szCs w:val="32"/>
        </w:rPr>
        <w:t>欢迎党员、干部、群众对巡察集中整改情况进行监督。如有意见建议，请及时向大港医院党委反映。联系电话：63109399；邮政信箱：天津市滨海新区大港南环路1200号；电子邮箱：dgyydb@sina.com。</w:t>
      </w:r>
    </w:p>
    <w:p>
      <w:pPr>
        <w:snapToGrid w:val="0"/>
        <w:spacing w:line="560" w:lineRule="exact"/>
        <w:ind w:firstLine="743"/>
        <w:rPr>
          <w:rFonts w:ascii="方正仿宋_GBK" w:eastAsia="方正仿宋_GBK"/>
          <w:b/>
          <w:bCs/>
          <w:sz w:val="32"/>
          <w:szCs w:val="32"/>
        </w:rPr>
      </w:pPr>
    </w:p>
    <w:p>
      <w:pPr>
        <w:pStyle w:val="4"/>
        <w:ind w:firstLine="640"/>
        <w:rPr>
          <w:rFonts w:ascii="方正仿宋_GBK" w:eastAsia="方正仿宋_GBK" w:cs="Calibri"/>
          <w:b/>
          <w:bCs/>
          <w:color w:val="000000"/>
          <w:kern w:val="0"/>
          <w:sz w:val="32"/>
          <w:szCs w:val="32"/>
        </w:rPr>
      </w:pPr>
    </w:p>
    <w:p>
      <w:pPr>
        <w:snapToGrid w:val="0"/>
        <w:spacing w:line="560" w:lineRule="exact"/>
        <w:ind w:firstLine="743"/>
        <w:rPr>
          <w:rFonts w:ascii="方正仿宋_GBK" w:eastAsia="方正仿宋_GBK"/>
          <w:b/>
          <w:bCs/>
          <w:sz w:val="32"/>
          <w:szCs w:val="32"/>
        </w:rPr>
      </w:pPr>
      <w:r>
        <w:rPr>
          <w:rFonts w:hint="eastAsia" w:ascii="方正仿宋_GBK" w:eastAsia="方正仿宋_GBK"/>
          <w:b/>
          <w:bCs/>
          <w:sz w:val="32"/>
          <w:szCs w:val="32"/>
        </w:rPr>
        <w:t xml:space="preserve">                              大港医院党委</w:t>
      </w:r>
    </w:p>
    <w:p>
      <w:pPr>
        <w:spacing w:line="560" w:lineRule="exact"/>
        <w:ind w:right="968" w:firstLine="643" w:firstLineChars="200"/>
        <w:jc w:val="right"/>
        <w:rPr>
          <w:rFonts w:ascii="方正仿宋_GBK" w:eastAsia="方正仿宋_GBK" w:cs="Calibri"/>
          <w:b/>
          <w:bCs/>
          <w:color w:val="000000"/>
          <w:kern w:val="0"/>
          <w:sz w:val="32"/>
          <w:szCs w:val="32"/>
        </w:rPr>
      </w:pPr>
      <w:r>
        <w:rPr>
          <w:rFonts w:ascii="方正仿宋_GBK" w:eastAsia="方正仿宋_GBK"/>
          <w:b/>
          <w:bCs/>
          <w:sz w:val="32"/>
          <w:szCs w:val="32"/>
        </w:rPr>
        <w:t>202</w:t>
      </w:r>
      <w:r>
        <w:rPr>
          <w:rFonts w:hint="eastAsia" w:ascii="方正仿宋_GBK" w:eastAsia="方正仿宋_GBK"/>
          <w:b/>
          <w:bCs/>
          <w:sz w:val="32"/>
          <w:szCs w:val="32"/>
        </w:rPr>
        <w:t>3年10月17日</w:t>
      </w:r>
      <w:bookmarkStart w:id="0" w:name="_GoBack"/>
      <w:bookmarkEnd w:id="0"/>
    </w:p>
    <w:sectPr>
      <w:footerReference r:id="rId3" w:type="default"/>
      <w:pgSz w:w="11906" w:h="16838"/>
      <w:pgMar w:top="2155"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91783"/>
      <w:docPartObj>
        <w:docPartGallery w:val="autotext"/>
      </w:docPartObj>
    </w:sdtPr>
    <w:sdtEndPr>
      <w:rPr>
        <w:rFonts w:ascii="Times New Roman" w:hAnsi="Times New Roman" w:cs="Times New Roman"/>
      </w:rPr>
    </w:sdtEndPr>
    <w:sdtContent>
      <w:p>
        <w:pPr>
          <w:pStyle w:val="5"/>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r>
          <w:rPr>
            <w:rFonts w:ascii="Times New Roman" w:hAnsi="Times New Roman" w:cs="Times New Roman"/>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01561"/>
    <w:multiLevelType w:val="multilevel"/>
    <w:tmpl w:val="03B01561"/>
    <w:lvl w:ilvl="0" w:tentative="0">
      <w:start w:val="1"/>
      <w:numFmt w:val="japaneseCounting"/>
      <w:lvlText w:val="%1、"/>
      <w:lvlJc w:val="left"/>
      <w:pPr>
        <w:ind w:left="1463" w:hanging="720"/>
      </w:pPr>
      <w:rPr>
        <w:rFonts w:hint="default"/>
      </w:rPr>
    </w:lvl>
    <w:lvl w:ilvl="1" w:tentative="0">
      <w:start w:val="1"/>
      <w:numFmt w:val="lowerLetter"/>
      <w:lvlText w:val="%2)"/>
      <w:lvlJc w:val="left"/>
      <w:pPr>
        <w:ind w:left="1583" w:hanging="420"/>
      </w:pPr>
    </w:lvl>
    <w:lvl w:ilvl="2" w:tentative="0">
      <w:start w:val="1"/>
      <w:numFmt w:val="lowerRoman"/>
      <w:lvlText w:val="%3."/>
      <w:lvlJc w:val="right"/>
      <w:pPr>
        <w:ind w:left="2003" w:hanging="420"/>
      </w:pPr>
    </w:lvl>
    <w:lvl w:ilvl="3" w:tentative="0">
      <w:start w:val="1"/>
      <w:numFmt w:val="decimal"/>
      <w:lvlText w:val="%4."/>
      <w:lvlJc w:val="left"/>
      <w:pPr>
        <w:ind w:left="2423" w:hanging="420"/>
      </w:pPr>
    </w:lvl>
    <w:lvl w:ilvl="4" w:tentative="0">
      <w:start w:val="1"/>
      <w:numFmt w:val="lowerLetter"/>
      <w:lvlText w:val="%5)"/>
      <w:lvlJc w:val="left"/>
      <w:pPr>
        <w:ind w:left="2843" w:hanging="420"/>
      </w:pPr>
    </w:lvl>
    <w:lvl w:ilvl="5" w:tentative="0">
      <w:start w:val="1"/>
      <w:numFmt w:val="lowerRoman"/>
      <w:lvlText w:val="%6."/>
      <w:lvlJc w:val="right"/>
      <w:pPr>
        <w:ind w:left="3263" w:hanging="420"/>
      </w:pPr>
    </w:lvl>
    <w:lvl w:ilvl="6" w:tentative="0">
      <w:start w:val="1"/>
      <w:numFmt w:val="decimal"/>
      <w:lvlText w:val="%7."/>
      <w:lvlJc w:val="left"/>
      <w:pPr>
        <w:ind w:left="3683" w:hanging="420"/>
      </w:pPr>
    </w:lvl>
    <w:lvl w:ilvl="7" w:tentative="0">
      <w:start w:val="1"/>
      <w:numFmt w:val="lowerLetter"/>
      <w:lvlText w:val="%8)"/>
      <w:lvlJc w:val="left"/>
      <w:pPr>
        <w:ind w:left="4103" w:hanging="420"/>
      </w:pPr>
    </w:lvl>
    <w:lvl w:ilvl="8" w:tentative="0">
      <w:start w:val="1"/>
      <w:numFmt w:val="lowerRoman"/>
      <w:lvlText w:val="%9."/>
      <w:lvlJc w:val="right"/>
      <w:pPr>
        <w:ind w:left="45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000E5AEC"/>
    <w:rsid w:val="00001A16"/>
    <w:rsid w:val="00015231"/>
    <w:rsid w:val="000220FC"/>
    <w:rsid w:val="00026944"/>
    <w:rsid w:val="0004523B"/>
    <w:rsid w:val="0005475E"/>
    <w:rsid w:val="00055F51"/>
    <w:rsid w:val="0005798E"/>
    <w:rsid w:val="00062DA0"/>
    <w:rsid w:val="00072ABE"/>
    <w:rsid w:val="000A3A52"/>
    <w:rsid w:val="000B6E08"/>
    <w:rsid w:val="000C6C6D"/>
    <w:rsid w:val="000C7312"/>
    <w:rsid w:val="000D0F71"/>
    <w:rsid w:val="000D462D"/>
    <w:rsid w:val="000D59B1"/>
    <w:rsid w:val="000D7012"/>
    <w:rsid w:val="000E5AEC"/>
    <w:rsid w:val="000E7844"/>
    <w:rsid w:val="000F3251"/>
    <w:rsid w:val="001035E2"/>
    <w:rsid w:val="00106ABB"/>
    <w:rsid w:val="00115F3D"/>
    <w:rsid w:val="00131428"/>
    <w:rsid w:val="00164E6B"/>
    <w:rsid w:val="001708F1"/>
    <w:rsid w:val="001709DC"/>
    <w:rsid w:val="00172E30"/>
    <w:rsid w:val="0017746B"/>
    <w:rsid w:val="00180540"/>
    <w:rsid w:val="00186194"/>
    <w:rsid w:val="0019127B"/>
    <w:rsid w:val="0019624F"/>
    <w:rsid w:val="001C5C57"/>
    <w:rsid w:val="001C78CD"/>
    <w:rsid w:val="001D157E"/>
    <w:rsid w:val="001D54D0"/>
    <w:rsid w:val="001E5F16"/>
    <w:rsid w:val="001F3557"/>
    <w:rsid w:val="0020033F"/>
    <w:rsid w:val="0021051F"/>
    <w:rsid w:val="0021704B"/>
    <w:rsid w:val="002428F5"/>
    <w:rsid w:val="002433EA"/>
    <w:rsid w:val="0025365C"/>
    <w:rsid w:val="002613B5"/>
    <w:rsid w:val="00277B58"/>
    <w:rsid w:val="00281B93"/>
    <w:rsid w:val="00297F6B"/>
    <w:rsid w:val="002A5115"/>
    <w:rsid w:val="002C67ED"/>
    <w:rsid w:val="002D19D1"/>
    <w:rsid w:val="002E49AD"/>
    <w:rsid w:val="002F06FA"/>
    <w:rsid w:val="002F4FA5"/>
    <w:rsid w:val="00304469"/>
    <w:rsid w:val="00310F90"/>
    <w:rsid w:val="00314547"/>
    <w:rsid w:val="00325A5B"/>
    <w:rsid w:val="00353ADE"/>
    <w:rsid w:val="00366D0B"/>
    <w:rsid w:val="00375F26"/>
    <w:rsid w:val="003865CC"/>
    <w:rsid w:val="003A1303"/>
    <w:rsid w:val="003A16EE"/>
    <w:rsid w:val="003C09B6"/>
    <w:rsid w:val="003C4812"/>
    <w:rsid w:val="003C5C3E"/>
    <w:rsid w:val="003E19DE"/>
    <w:rsid w:val="003F4446"/>
    <w:rsid w:val="003F6C1B"/>
    <w:rsid w:val="00411FD5"/>
    <w:rsid w:val="004178A1"/>
    <w:rsid w:val="004240E4"/>
    <w:rsid w:val="00442B42"/>
    <w:rsid w:val="00460296"/>
    <w:rsid w:val="004824C4"/>
    <w:rsid w:val="004A57FD"/>
    <w:rsid w:val="004C0240"/>
    <w:rsid w:val="004C2917"/>
    <w:rsid w:val="004D3B61"/>
    <w:rsid w:val="005175CE"/>
    <w:rsid w:val="00531FFF"/>
    <w:rsid w:val="00533D94"/>
    <w:rsid w:val="00534A6E"/>
    <w:rsid w:val="00541B05"/>
    <w:rsid w:val="00541F74"/>
    <w:rsid w:val="0055623B"/>
    <w:rsid w:val="0056405A"/>
    <w:rsid w:val="005679F5"/>
    <w:rsid w:val="0059471D"/>
    <w:rsid w:val="005A2E3F"/>
    <w:rsid w:val="005C3099"/>
    <w:rsid w:val="005C448F"/>
    <w:rsid w:val="005E5174"/>
    <w:rsid w:val="005F2BCB"/>
    <w:rsid w:val="005F4FB1"/>
    <w:rsid w:val="006100F4"/>
    <w:rsid w:val="00620295"/>
    <w:rsid w:val="0063232F"/>
    <w:rsid w:val="006344D1"/>
    <w:rsid w:val="00635525"/>
    <w:rsid w:val="0066293C"/>
    <w:rsid w:val="006756DB"/>
    <w:rsid w:val="00676C22"/>
    <w:rsid w:val="006826FC"/>
    <w:rsid w:val="00684A69"/>
    <w:rsid w:val="00690D0B"/>
    <w:rsid w:val="006A6D8C"/>
    <w:rsid w:val="006D13BF"/>
    <w:rsid w:val="006D6A2E"/>
    <w:rsid w:val="006D7A0D"/>
    <w:rsid w:val="006F6921"/>
    <w:rsid w:val="006F7350"/>
    <w:rsid w:val="00723085"/>
    <w:rsid w:val="00730322"/>
    <w:rsid w:val="00736CA9"/>
    <w:rsid w:val="00745414"/>
    <w:rsid w:val="00755EED"/>
    <w:rsid w:val="0076435E"/>
    <w:rsid w:val="00787F9A"/>
    <w:rsid w:val="007A2B0F"/>
    <w:rsid w:val="007D2C1D"/>
    <w:rsid w:val="007D6405"/>
    <w:rsid w:val="007D6963"/>
    <w:rsid w:val="007D7496"/>
    <w:rsid w:val="007D75A8"/>
    <w:rsid w:val="007E28A0"/>
    <w:rsid w:val="007F4A98"/>
    <w:rsid w:val="0082336B"/>
    <w:rsid w:val="008404F3"/>
    <w:rsid w:val="00845114"/>
    <w:rsid w:val="00852787"/>
    <w:rsid w:val="00866276"/>
    <w:rsid w:val="0088001E"/>
    <w:rsid w:val="00887E31"/>
    <w:rsid w:val="008A361F"/>
    <w:rsid w:val="008A5471"/>
    <w:rsid w:val="008A5DBB"/>
    <w:rsid w:val="008B6622"/>
    <w:rsid w:val="008E73F5"/>
    <w:rsid w:val="008E7433"/>
    <w:rsid w:val="008F1B2E"/>
    <w:rsid w:val="00915C21"/>
    <w:rsid w:val="00920738"/>
    <w:rsid w:val="0092268F"/>
    <w:rsid w:val="0092652E"/>
    <w:rsid w:val="00942B7D"/>
    <w:rsid w:val="00947E59"/>
    <w:rsid w:val="00954909"/>
    <w:rsid w:val="00956A59"/>
    <w:rsid w:val="0096502D"/>
    <w:rsid w:val="00967366"/>
    <w:rsid w:val="00970299"/>
    <w:rsid w:val="009A390C"/>
    <w:rsid w:val="009B06AC"/>
    <w:rsid w:val="009C761A"/>
    <w:rsid w:val="009D2588"/>
    <w:rsid w:val="009D2635"/>
    <w:rsid w:val="009F4A33"/>
    <w:rsid w:val="00A04E53"/>
    <w:rsid w:val="00A05F0E"/>
    <w:rsid w:val="00A15E45"/>
    <w:rsid w:val="00A52A82"/>
    <w:rsid w:val="00A55099"/>
    <w:rsid w:val="00A565D3"/>
    <w:rsid w:val="00A635F5"/>
    <w:rsid w:val="00A846A9"/>
    <w:rsid w:val="00A908A8"/>
    <w:rsid w:val="00A940AD"/>
    <w:rsid w:val="00AA1FB1"/>
    <w:rsid w:val="00AB0115"/>
    <w:rsid w:val="00AB7939"/>
    <w:rsid w:val="00AC1294"/>
    <w:rsid w:val="00AD6CE3"/>
    <w:rsid w:val="00AD7247"/>
    <w:rsid w:val="00AE44EA"/>
    <w:rsid w:val="00AF1B50"/>
    <w:rsid w:val="00AF3DF8"/>
    <w:rsid w:val="00AF4AA2"/>
    <w:rsid w:val="00B04B63"/>
    <w:rsid w:val="00B17519"/>
    <w:rsid w:val="00B223F9"/>
    <w:rsid w:val="00B53E6B"/>
    <w:rsid w:val="00B67AE6"/>
    <w:rsid w:val="00B8026D"/>
    <w:rsid w:val="00BA344A"/>
    <w:rsid w:val="00BC4948"/>
    <w:rsid w:val="00BD4007"/>
    <w:rsid w:val="00BE3665"/>
    <w:rsid w:val="00C01BAA"/>
    <w:rsid w:val="00C045E5"/>
    <w:rsid w:val="00C11F9A"/>
    <w:rsid w:val="00C20351"/>
    <w:rsid w:val="00C217B8"/>
    <w:rsid w:val="00C2378E"/>
    <w:rsid w:val="00C24FB3"/>
    <w:rsid w:val="00C27329"/>
    <w:rsid w:val="00C35F08"/>
    <w:rsid w:val="00C42E5A"/>
    <w:rsid w:val="00C45EBC"/>
    <w:rsid w:val="00C47F97"/>
    <w:rsid w:val="00C63BFB"/>
    <w:rsid w:val="00C81193"/>
    <w:rsid w:val="00CA1F06"/>
    <w:rsid w:val="00CA49FA"/>
    <w:rsid w:val="00CA4B13"/>
    <w:rsid w:val="00CC41D1"/>
    <w:rsid w:val="00D2016E"/>
    <w:rsid w:val="00D378DF"/>
    <w:rsid w:val="00D608CB"/>
    <w:rsid w:val="00D60B52"/>
    <w:rsid w:val="00D75C0D"/>
    <w:rsid w:val="00D824A0"/>
    <w:rsid w:val="00D85462"/>
    <w:rsid w:val="00DA1521"/>
    <w:rsid w:val="00DA29AA"/>
    <w:rsid w:val="00DA31EE"/>
    <w:rsid w:val="00DC2183"/>
    <w:rsid w:val="00DD00C5"/>
    <w:rsid w:val="00DD1A35"/>
    <w:rsid w:val="00DF4870"/>
    <w:rsid w:val="00DF5169"/>
    <w:rsid w:val="00E06651"/>
    <w:rsid w:val="00E2054F"/>
    <w:rsid w:val="00E3374A"/>
    <w:rsid w:val="00E402CA"/>
    <w:rsid w:val="00E4327F"/>
    <w:rsid w:val="00E455D0"/>
    <w:rsid w:val="00E5290A"/>
    <w:rsid w:val="00E93F92"/>
    <w:rsid w:val="00EB2533"/>
    <w:rsid w:val="00ED309D"/>
    <w:rsid w:val="00ED55FE"/>
    <w:rsid w:val="00EF1D77"/>
    <w:rsid w:val="00F11115"/>
    <w:rsid w:val="00F279C0"/>
    <w:rsid w:val="00F457DC"/>
    <w:rsid w:val="00F51251"/>
    <w:rsid w:val="00F575FE"/>
    <w:rsid w:val="00F7547B"/>
    <w:rsid w:val="00F87603"/>
    <w:rsid w:val="00FB0DFF"/>
    <w:rsid w:val="00FB6FA1"/>
    <w:rsid w:val="00FC15AD"/>
    <w:rsid w:val="00FD3601"/>
    <w:rsid w:val="00FD6159"/>
    <w:rsid w:val="04B62533"/>
    <w:rsid w:val="15DF06ED"/>
    <w:rsid w:val="163A7FE7"/>
    <w:rsid w:val="1A430031"/>
    <w:rsid w:val="1FC3402A"/>
    <w:rsid w:val="29204DE9"/>
    <w:rsid w:val="2C866B0B"/>
    <w:rsid w:val="338E0951"/>
    <w:rsid w:val="37C459BA"/>
    <w:rsid w:val="39D32C64"/>
    <w:rsid w:val="3BF375EE"/>
    <w:rsid w:val="3F673587"/>
    <w:rsid w:val="46E96574"/>
    <w:rsid w:val="4B2038D0"/>
    <w:rsid w:val="5D5925BC"/>
    <w:rsid w:val="604C124A"/>
    <w:rsid w:val="608C46E4"/>
    <w:rsid w:val="659A1274"/>
    <w:rsid w:val="65F242EE"/>
    <w:rsid w:val="675D5326"/>
    <w:rsid w:val="6F1654F2"/>
    <w:rsid w:val="74F51705"/>
    <w:rsid w:val="75E43528"/>
    <w:rsid w:val="7735228D"/>
    <w:rsid w:val="7AD87B13"/>
    <w:rsid w:val="7DCB55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cs="宋体"/>
      <w:b/>
      <w:bCs/>
      <w:color w:val="auto"/>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17"/>
    <w:qFormat/>
    <w:uiPriority w:val="0"/>
    <w:pPr>
      <w:spacing w:after="120" w:line="580" w:lineRule="exact"/>
      <w:ind w:firstLine="632" w:firstLineChars="200"/>
    </w:pPr>
    <w:rPr>
      <w:rFonts w:eastAsia="仿宋_GB2312" w:cs="Times New Roman"/>
      <w:color w:val="auto"/>
      <w:kern w:val="32"/>
      <w:sz w:val="36"/>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color w:val="auto"/>
      <w:sz w:val="24"/>
      <w:szCs w:val="24"/>
    </w:rPr>
  </w:style>
  <w:style w:type="character" w:styleId="10">
    <w:name w:val="Strong"/>
    <w:basedOn w:val="9"/>
    <w:qFormat/>
    <w:uiPriority w:val="22"/>
    <w:rPr>
      <w:b/>
      <w:bC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标题 1 Char"/>
    <w:basedOn w:val="9"/>
    <w:link w:val="2"/>
    <w:qFormat/>
    <w:uiPriority w:val="9"/>
    <w:rPr>
      <w:rFonts w:ascii="Calibri" w:hAnsi="Calibri" w:eastAsia="宋体" w:cs="Calibri"/>
      <w:b/>
      <w:bCs/>
      <w:color w:val="000000"/>
      <w:kern w:val="44"/>
      <w:sz w:val="44"/>
      <w:szCs w:val="44"/>
    </w:rPr>
  </w:style>
  <w:style w:type="paragraph" w:styleId="15">
    <w:name w:val="List Paragraph"/>
    <w:basedOn w:val="1"/>
    <w:qFormat/>
    <w:uiPriority w:val="34"/>
    <w:pPr>
      <w:ind w:firstLine="420" w:firstLineChars="200"/>
    </w:pPr>
    <w:rPr>
      <w:rFonts w:asciiTheme="minorHAnsi" w:hAnsiTheme="minorHAnsi" w:eastAsiaTheme="minorEastAsia" w:cstheme="minorBidi"/>
      <w:color w:val="auto"/>
      <w:kern w:val="2"/>
    </w:rPr>
  </w:style>
  <w:style w:type="character" w:customStyle="1" w:styleId="16">
    <w:name w:val="bjh-p"/>
    <w:basedOn w:val="9"/>
    <w:qFormat/>
    <w:uiPriority w:val="0"/>
  </w:style>
  <w:style w:type="character" w:customStyle="1" w:styleId="17">
    <w:name w:val="正文文本 Char"/>
    <w:basedOn w:val="9"/>
    <w:link w:val="4"/>
    <w:qFormat/>
    <w:uiPriority w:val="0"/>
    <w:rPr>
      <w:rFonts w:ascii="Calibri" w:hAnsi="Calibri" w:eastAsia="仿宋_GB2312" w:cs="Times New Roman"/>
      <w:kern w:val="32"/>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FD45-0472-4006-89AD-3D1C1B8E199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867</Words>
  <Characters>4942</Characters>
  <Lines>41</Lines>
  <Paragraphs>11</Paragraphs>
  <TotalTime>29</TotalTime>
  <ScaleCrop>false</ScaleCrop>
  <LinksUpToDate>false</LinksUpToDate>
  <CharactersWithSpaces>5798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2023-10-24T07:25:00Z</dcterms:created>
  <dc:creator>Administrator</dc:creator>
  <cp:lastModifiedBy>Administrator</cp:lastModifiedBy>
  <dcterms:modified xsi:type="dcterms:W3CDTF">2023-12-07T03:19:23Z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21AEB79C3D804805BFDFDCAAECA70785_13</vt:lpwstr>
  </property>
</Properties>
</file>