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  <w:shd w:val="clear" w:color="auto" w:fill="auto"/>
        </w:rPr>
      </w:pPr>
    </w:p>
    <w:p>
      <w:pPr>
        <w:jc w:val="right"/>
        <w:rPr>
          <w:rFonts w:hint="eastAsia" w:ascii="仿宋_GB2312" w:hAnsi="仿宋_GB2312" w:eastAsia="仿宋_GB2312" w:cs="仿宋_GB2312"/>
          <w:highlight w:val="none"/>
          <w:shd w:val="clear" w:color="auto" w:fill="auto"/>
          <w:lang w:eastAsia="zh-CN"/>
        </w:rPr>
      </w:pP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shd w:val="clear" w:color="auto" w:fill="auto"/>
          <w:lang w:eastAsia="zh-CN"/>
        </w:rPr>
        <w:t>津滨卫疾控函﹝</w:t>
      </w:r>
      <w:r>
        <w:rPr>
          <w:rFonts w:hint="eastAsia" w:ascii="仿宋_GB2312" w:hAnsi="仿宋_GB2312" w:eastAsia="仿宋_GB2312" w:cs="仿宋_GB2312"/>
          <w:highlight w:val="none"/>
          <w:shd w:val="clear" w:color="auto" w:fill="auto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highlight w:val="none"/>
          <w:shd w:val="clear" w:color="auto" w:fill="auto"/>
          <w:lang w:eastAsia="zh-CN"/>
        </w:rPr>
        <w:t>﹞</w:t>
      </w:r>
      <w:r>
        <w:rPr>
          <w:rFonts w:hint="eastAsia" w:ascii="仿宋_GB2312" w:hAnsi="仿宋_GB2312" w:eastAsia="仿宋_GB2312" w:cs="仿宋_GB2312"/>
          <w:highlight w:val="none"/>
          <w:shd w:val="clear" w:color="auto" w:fill="auto"/>
          <w:lang w:val="en-US" w:eastAsia="zh-CN"/>
        </w:rPr>
        <w:t>433号</w:t>
      </w:r>
    </w:p>
    <w:p>
      <w:pPr>
        <w:jc w:val="right"/>
        <w:rPr>
          <w:rFonts w:hint="eastAsia" w:ascii="仿宋_GB2312" w:hAnsi="仿宋_GB2312" w:eastAsia="仿宋_GB2312" w:cs="仿宋_GB2312"/>
          <w:highlight w:val="none"/>
          <w:shd w:val="clear" w:color="auto" w:fill="auto"/>
          <w:lang w:val="en-US"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shd w:val="clear" w:color="auto" w:fill="auto"/>
        </w:rPr>
        <w:t>区卫生健康委关于做好202</w:t>
      </w:r>
      <w:r>
        <w:rPr>
          <w:rFonts w:hint="eastAsia" w:ascii="方正小标宋简体" w:eastAsia="方正小标宋简体"/>
          <w:sz w:val="44"/>
          <w:szCs w:val="44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  <w:highlight w:val="none"/>
          <w:shd w:val="clear" w:color="auto" w:fill="auto"/>
        </w:rPr>
        <w:t>年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shd w:val="clear" w:color="auto" w:fill="auto"/>
        </w:rPr>
        <w:t>防暑降温工作的通知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highlight w:val="none"/>
          <w:shd w:val="clear" w:color="auto" w:fill="auto"/>
        </w:rPr>
      </w:pPr>
    </w:p>
    <w:p>
      <w:pPr>
        <w:spacing w:line="560" w:lineRule="exact"/>
        <w:rPr>
          <w:rFonts w:ascii="仿宋_GB2312" w:eastAsia="仿宋_GB231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/>
          <w:szCs w:val="32"/>
          <w:highlight w:val="none"/>
          <w:shd w:val="clear" w:color="auto" w:fill="auto"/>
        </w:rPr>
        <w:t>泰达街</w:t>
      </w:r>
      <w:r>
        <w:rPr>
          <w:rFonts w:hint="eastAsia" w:ascii="仿宋_GB2312" w:eastAsia="仿宋_GB231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eastAsia="仿宋_GB2312"/>
          <w:szCs w:val="32"/>
          <w:highlight w:val="none"/>
          <w:shd w:val="clear" w:color="auto" w:fill="auto"/>
        </w:rPr>
        <w:t>开发区卫生健康主管部门，区卫生计生综合监督所</w:t>
      </w:r>
      <w:r>
        <w:rPr>
          <w:rFonts w:hint="eastAsia" w:eastAsia="仿宋_GB2312"/>
          <w:szCs w:val="32"/>
          <w:highlight w:val="none"/>
          <w:shd w:val="clear" w:color="auto" w:fill="auto"/>
          <w:lang w:eastAsia="zh-CN"/>
        </w:rPr>
        <w:t>，各</w:t>
      </w:r>
      <w:r>
        <w:rPr>
          <w:rFonts w:hint="eastAsia" w:eastAsia="仿宋_GB2312"/>
          <w:szCs w:val="32"/>
          <w:highlight w:val="none"/>
          <w:shd w:val="clear" w:color="auto" w:fill="auto"/>
        </w:rPr>
        <w:t>有关</w:t>
      </w:r>
      <w:r>
        <w:rPr>
          <w:rFonts w:hint="eastAsia" w:eastAsia="仿宋_GB2312"/>
          <w:szCs w:val="32"/>
          <w:highlight w:val="none"/>
          <w:shd w:val="clear" w:color="auto" w:fill="auto"/>
          <w:lang w:eastAsia="zh-CN"/>
        </w:rPr>
        <w:t>单位</w:t>
      </w:r>
      <w:r>
        <w:rPr>
          <w:rFonts w:hint="eastAsia" w:ascii="仿宋_GB2312" w:eastAsia="仿宋_GB2312"/>
          <w:szCs w:val="32"/>
          <w:highlight w:val="none"/>
          <w:shd w:val="clear" w:color="auto" w:fill="auto"/>
        </w:rPr>
        <w:t>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 xml:space="preserve"> 目前，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已进入夏季高温季节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为贯彻落实《职业病防治法》等法律法规，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按照《市卫生健康委关于做好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2021年防暑降温工作的通知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》（</w:t>
      </w:r>
      <w:r>
        <w:rPr>
          <w:rFonts w:hint="eastAsia" w:ascii="仿宋_GB2312" w:hAnsi="仿宋_GB2312" w:eastAsia="仿宋_GB2312" w:cs="仿宋_GB2312"/>
          <w:highlight w:val="none"/>
          <w:shd w:val="clear" w:color="auto" w:fill="auto"/>
          <w:lang w:eastAsia="zh-CN"/>
        </w:rPr>
        <w:t>津卫职健﹝</w:t>
      </w:r>
      <w:r>
        <w:rPr>
          <w:rFonts w:hint="eastAsia" w:ascii="仿宋_GB2312" w:hAnsi="仿宋_GB2312" w:eastAsia="仿宋_GB2312" w:cs="仿宋_GB2312"/>
          <w:highlight w:val="none"/>
          <w:shd w:val="clear" w:color="auto" w:fill="auto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highlight w:val="none"/>
          <w:shd w:val="clear" w:color="auto" w:fill="auto"/>
          <w:lang w:eastAsia="zh-CN"/>
        </w:rPr>
        <w:t>﹞</w:t>
      </w:r>
      <w:r>
        <w:rPr>
          <w:rFonts w:hint="eastAsia" w:ascii="仿宋_GB2312" w:hAnsi="仿宋_GB2312" w:eastAsia="仿宋_GB2312" w:cs="仿宋_GB2312"/>
          <w:highlight w:val="none"/>
          <w:shd w:val="clear" w:color="auto" w:fill="auto"/>
          <w:lang w:val="en-US" w:eastAsia="zh-CN"/>
        </w:rPr>
        <w:t>312号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）要求，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切实做好高温作业和高温天气作业职业健康保护工作，有效预防和控制中暑事件的发生，切实维护好广大劳动者的职业健康权益，现就依法做好202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年防暑降温工作通知如下：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  <w:t>一、加强组织领导，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auto"/>
          <w:lang w:eastAsia="zh-CN"/>
        </w:rPr>
        <w:t>周密安排部署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防暑降温工作直接关系劳动者身体健康和生命安全。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部门和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单位要高度重视防暑降温工作，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切实把防暑降温工作作为当前一项重要工作来抓，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加强组织领导，落实工作责任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，做到任务明确、责任落实、措施到位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。要突出重点行业、重点岗位和重点人群，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加强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建筑施工、冶金等行业领域以及炉前工、环卫工、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园林绿化、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快递员等岗位和人群防暑降温工作，根据高温天气情况及时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通过多种途径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发布预警信息；要指导相关单位做好户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外疫苗接种、核酸检测等场所的防暑降温工作，合理安排高温天气户外防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疫工作者的作息时间，切实做好高温季节疫情防控保障工作。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auto"/>
          <w:lang w:eastAsia="zh-CN"/>
        </w:rPr>
        <w:t>明确</w:t>
      </w:r>
      <w:r>
        <w:rPr>
          <w:rFonts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  <w:t>主体责任，强化措施落实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rPr>
          <w:rFonts w:hint="default" w:ascii="Times New Roman" w:hAnsi="Times New Roman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各级卫生健康管理部门和卫生监督机构要加强对用人单位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防暑降温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工作指导，严格督促用人单位按照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《防暑降温措施管理办法》（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安监总安健〔2012〕89号）要求，结合本单位作业特点，认真落实防暑降温有关规定和措施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用人单位要提前组织高温天气作业劳动者进行职业健康检查，对不适合高温作业环境的劳动者，应当及时调整岗位；要加强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对劳动者上岗前和在岗期间的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高温防护、中暑急救等知识的培训教育，增强劳动者的自救互救能力；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要根据生产特点和作业条件，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结合气象部门发布的天气预报信息，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合理安排和调整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高温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作业时间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；要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积极改善劳动条件和作业环境，在高温作业场所增添必要的通风或降温设备，配备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符合卫生标准的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防暑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降温饮料及必需的药品；要制定并完善高温中暑应急预案并组织演练，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根据从事高温作业和高温天气作业的劳动者数量及作业条件等情况，配备应急救援人员和足量的急救药品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确保出现异常情况时，能够及时有效处置。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auto"/>
          <w:lang w:eastAsia="zh-CN"/>
        </w:rPr>
        <w:t>三、加强监督检查，严查违法违规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开发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区卫生健康部门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和区卫生计生综合监督所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认真做好防暑降温监督执法工作，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督促用人单位严格落实防暑降温主体责任，要结合夏季高温特点，加强对易发生高温中暑行业领域和用人单位的监督检查。重点检查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用人单位是否认真贯彻落实《防暑降温措施管理办法》规定，是否建立健全防暑降温工作制度，是否组织劳动者进行职业健康检查，是否配备通风或降温设备以改善作业条件，是否合理安排或调整高温作息时间，是否制定高温中暑应急预案等情况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对检查中发现的问题，督促指导用人单位立即进行整改，对违反国家有关规定、危害劳动者身体健康的行为，要依法严肃查处，切实保障劳动者的合法权益。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职业健康检查机构和职业病诊断机构要加强相关技术力量配备，合理安排人员、优化服务流程，提高高温作业职业健康检查、职业性中暑诊断的服务质量，及时上报职业性中暑确诊和疑似病例信息。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医疗机构要提高中暑患者救治能力及水平，切实降低中暑患者死亡率。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auto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  <w:t>、加大宣传力度，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auto"/>
          <w:lang w:eastAsia="zh-CN"/>
        </w:rPr>
        <w:t>增强</w:t>
      </w:r>
      <w:r>
        <w:rPr>
          <w:rFonts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  <w:t>防护意识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部门和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要加大对高温危害及其防护措施的宣传力度，充分运用“报、网、端、微、屏”等各类媒体平台，通过动漫、短视频、公益广告等通俗易懂、劳动者喜闻乐见的方式，普及防暑降温常识、急救知识和相关法律法规。要突出宣传重点，抓好露天户外作业等易发高温中暑行业领域劳动者的宣传教育，使他们了解高温危害、掌握高温危害的防护措施和个体防护方法，提高自我防护意识，减少因高温作业或高温天气作业造成中暑事件的发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防暑降温工作开展期间，各开发区卫生健康部门和区卫生计生综合监督所要及时将防暑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降温工作图文、视频信息报送区卫生健康委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，并于2021年9月20日前将防暑降温工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作总结及防暑降温工作情况统计表（见附件）加盖公章后报送至委疾控。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附件：防暑降温工作情况统计表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    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 xml:space="preserve">                        2021年7月27日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（此件主动公开）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（区卫生健康委联系人：高振山；联系电话：65305880；                          电子政务邮箱：wjwjbyfkzs@tjbh.gov.cn）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  <w:highlight w:val="none"/>
          <w:shd w:val="clear" w:color="auto" w:fill="auto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  <w:highlight w:val="none"/>
          <w:shd w:val="clear" w:color="auto" w:fill="auto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  <w:highlight w:val="none"/>
          <w:shd w:val="clear" w:color="auto" w:fill="auto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  <w:highlight w:val="none"/>
          <w:shd w:val="clear" w:color="auto" w:fill="auto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  <w:highlight w:val="none"/>
          <w:shd w:val="clear" w:color="auto" w:fill="auto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  <w:highlight w:val="none"/>
          <w:shd w:val="clear" w:color="auto" w:fill="auto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  <w:highlight w:val="none"/>
          <w:shd w:val="clear" w:color="auto" w:fill="auto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Cs w:val="32"/>
          <w:highlight w:val="none"/>
          <w:shd w:val="clear" w:color="auto" w:fill="auto"/>
        </w:rPr>
      </w:pPr>
    </w:p>
    <w:p>
      <w:pPr>
        <w:spacing w:line="580" w:lineRule="exact"/>
        <w:rPr>
          <w:rFonts w:eastAsia="黑体"/>
          <w:szCs w:val="32"/>
          <w:highlight w:val="none"/>
          <w:shd w:val="clear" w:color="auto" w:fil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eastAsia="黑体"/>
          <w:sz w:val="32"/>
          <w:szCs w:val="32"/>
          <w:highlight w:val="none"/>
          <w:shd w:val="clear" w:color="auto" w:fill="auto"/>
        </w:rPr>
      </w:pPr>
      <w:r>
        <w:rPr>
          <w:rFonts w:eastAsia="黑体"/>
          <w:sz w:val="32"/>
          <w:szCs w:val="32"/>
          <w:highlight w:val="none"/>
          <w:shd w:val="clear" w:color="auto" w:fill="auto"/>
        </w:rPr>
        <w:t>附件</w:t>
      </w:r>
    </w:p>
    <w:p>
      <w:pPr>
        <w:spacing w:line="580" w:lineRule="exact"/>
        <w:jc w:val="center"/>
        <w:rPr>
          <w:rFonts w:eastAsia="方正小标宋简体"/>
          <w:b w:val="0"/>
          <w:bCs/>
          <w:sz w:val="44"/>
          <w:szCs w:val="44"/>
          <w:highlight w:val="none"/>
          <w:shd w:val="clear" w:color="auto" w:fill="auto"/>
        </w:rPr>
      </w:pPr>
      <w:r>
        <w:rPr>
          <w:rFonts w:eastAsia="方正小标宋简体"/>
          <w:b w:val="0"/>
          <w:bCs/>
          <w:sz w:val="44"/>
          <w:szCs w:val="44"/>
          <w:highlight w:val="none"/>
          <w:shd w:val="clear" w:color="auto" w:fill="auto"/>
        </w:rPr>
        <w:t>防暑降温工作情况统计表</w:t>
      </w:r>
    </w:p>
    <w:p>
      <w:pPr>
        <w:spacing w:line="580" w:lineRule="exact"/>
        <w:jc w:val="center"/>
        <w:rPr>
          <w:rFonts w:eastAsia="方正小标宋简体"/>
          <w:b w:val="0"/>
          <w:bCs/>
          <w:sz w:val="44"/>
          <w:szCs w:val="44"/>
          <w:highlight w:val="none"/>
          <w:shd w:val="clear" w:color="auto" w:fill="auto"/>
        </w:rPr>
      </w:pPr>
    </w:p>
    <w:p>
      <w:pPr>
        <w:spacing w:line="580" w:lineRule="exact"/>
        <w:jc w:val="left"/>
        <w:rPr>
          <w:rFonts w:eastAsia="仿宋_GB2312"/>
          <w:sz w:val="32"/>
          <w:szCs w:val="32"/>
          <w:highlight w:val="none"/>
          <w:shd w:val="clear" w:color="auto" w:fill="auto"/>
        </w:rPr>
      </w:pPr>
      <w:r>
        <w:rPr>
          <w:rFonts w:eastAsia="方正小标宋简体"/>
          <w:b/>
          <w:sz w:val="44"/>
          <w:szCs w:val="44"/>
          <w:highlight w:val="none"/>
          <w:shd w:val="clear" w:color="auto" w:fill="auto"/>
        </w:rPr>
        <w:t xml:space="preserve"> </w:t>
      </w:r>
      <w:r>
        <w:rPr>
          <w:rFonts w:eastAsia="仿宋_GB2312"/>
          <w:sz w:val="32"/>
          <w:szCs w:val="32"/>
          <w:highlight w:val="none"/>
          <w:shd w:val="clear" w:color="auto" w:fill="auto"/>
        </w:rPr>
        <w:t>填报单位：</w:t>
      </w:r>
      <w:r>
        <w:rPr>
          <w:rFonts w:eastAsia="仿宋_GB2312"/>
          <w:sz w:val="32"/>
          <w:szCs w:val="32"/>
          <w:highlight w:val="none"/>
          <w:u w:val="single"/>
          <w:shd w:val="clear" w:color="auto" w:fill="auto"/>
        </w:rPr>
        <w:t xml:space="preserve">        </w:t>
      </w:r>
      <w:r>
        <w:rPr>
          <w:rFonts w:hint="eastAsia" w:eastAsia="仿宋_GB2312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eastAsia="仿宋_GB2312"/>
          <w:sz w:val="32"/>
          <w:szCs w:val="32"/>
          <w:highlight w:val="none"/>
          <w:u w:val="single"/>
          <w:shd w:val="clear" w:color="auto" w:fill="auto"/>
        </w:rPr>
        <w:t xml:space="preserve"> </w:t>
      </w:r>
    </w:p>
    <w:tbl>
      <w:tblPr>
        <w:tblStyle w:val="4"/>
        <w:tblW w:w="14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935"/>
        <w:gridCol w:w="974"/>
        <w:gridCol w:w="1098"/>
        <w:gridCol w:w="1098"/>
        <w:gridCol w:w="1098"/>
        <w:gridCol w:w="1098"/>
        <w:gridCol w:w="1098"/>
        <w:gridCol w:w="1098"/>
        <w:gridCol w:w="1098"/>
        <w:gridCol w:w="1100"/>
        <w:gridCol w:w="1081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行业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涉及用人单位数(家)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涉及高温作业劳动者 (人)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监督检查用人单位情况（家）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6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pacing w:val="-16"/>
                <w:sz w:val="24"/>
                <w:szCs w:val="24"/>
                <w:highlight w:val="none"/>
                <w:shd w:val="clear" w:color="auto" w:fill="auto"/>
              </w:rPr>
              <w:t>检查用人单位数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建立防暑降温工作制度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开展宣传培训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制定高温应急预案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开展职业健康检查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改善作业条件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发放防护用品及清凉饮料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处罚数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职业健康检查人数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发生中暑案例数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  <w:t>建筑施工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  <w:t>冶金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  <w:t>……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  <w:t>……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合计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检查中发现的问题</w:t>
            </w:r>
          </w:p>
        </w:tc>
        <w:tc>
          <w:tcPr>
            <w:tcW w:w="10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整改落实情况</w:t>
            </w:r>
          </w:p>
        </w:tc>
        <w:tc>
          <w:tcPr>
            <w:tcW w:w="10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rPr>
          <w:highlight w:val="none"/>
          <w:shd w:val="clear" w:color="auto" w:fill="auto"/>
        </w:rPr>
      </w:pPr>
      <w:r>
        <w:rPr>
          <w:rFonts w:eastAsia="仿宋_GB2312"/>
          <w:sz w:val="24"/>
          <w:highlight w:val="none"/>
          <w:shd w:val="clear" w:color="auto" w:fill="auto"/>
        </w:rPr>
        <w:t>填表人：                                 联系电话：</w:t>
      </w:r>
    </w:p>
    <w:sectPr>
      <w:pgSz w:w="16838" w:h="11906" w:orient="landscape"/>
      <w:pgMar w:top="1474" w:right="2098" w:bottom="147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69495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EF46C6"/>
    <w:rsid w:val="37FF0ABD"/>
    <w:rsid w:val="3BF50D3C"/>
    <w:rsid w:val="7FFB16E3"/>
    <w:rsid w:val="9DB7AD79"/>
    <w:rsid w:val="CFEF46C6"/>
    <w:rsid w:val="E7DE5BEB"/>
    <w:rsid w:val="FF7ED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4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2021-07-26T22:55:00Z</dcterms:created>
  <dc:creator>高振山</dc:creator>
  <cp:lastModifiedBy>高振山</cp:lastModifiedBy>
  <cp:lastPrinted>2021-07-27T16:24:15Z</cp:lastPrinted>
  <dcterms:modified xsi:type="dcterms:W3CDTF">2021-07-27T16:25:33Z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